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42B596" w14:textId="77777777" w:rsidR="00D928CB" w:rsidRDefault="00D928CB" w:rsidP="00D928CB">
      <w:pPr>
        <w:pStyle w:val="Heading1"/>
        <w:spacing w:before="0" w:after="0"/>
      </w:pPr>
      <w:r>
        <w:t xml:space="preserve">  </w:t>
      </w:r>
    </w:p>
    <w:p w14:paraId="493D3939" w14:textId="77777777" w:rsidR="00D928CB" w:rsidRDefault="00D928CB" w:rsidP="00D928CB">
      <w:pPr>
        <w:pStyle w:val="Heading1"/>
        <w:spacing w:before="0" w:after="0"/>
      </w:pPr>
    </w:p>
    <w:p w14:paraId="4CC911C1" w14:textId="3F16BCEE" w:rsidR="00D928CB" w:rsidRDefault="00124B37" w:rsidP="00124B37">
      <w:pPr>
        <w:pStyle w:val="Heading1"/>
        <w:tabs>
          <w:tab w:val="left" w:pos="516"/>
        </w:tabs>
        <w:spacing w:before="0" w:after="0"/>
        <w:jc w:val="left"/>
      </w:pPr>
      <w:r>
        <w:tab/>
      </w:r>
    </w:p>
    <w:p w14:paraId="58BAEEFB" w14:textId="77777777" w:rsidR="00D928CB" w:rsidRDefault="00D928CB" w:rsidP="00D928CB">
      <w:pPr>
        <w:pStyle w:val="Heading1"/>
        <w:spacing w:before="0" w:after="0"/>
      </w:pPr>
    </w:p>
    <w:p w14:paraId="110A9DC6" w14:textId="48C63543" w:rsidR="008C015F" w:rsidRDefault="00D928CB" w:rsidP="00D928CB">
      <w:pPr>
        <w:pStyle w:val="Heading1"/>
        <w:spacing w:before="0" w:after="0"/>
      </w:pPr>
      <w:r>
        <w:t xml:space="preserve">6SSHM010 - </w:t>
      </w:r>
      <w:r w:rsidRPr="00D928CB">
        <w:t>Drugs and Culture</w:t>
      </w:r>
    </w:p>
    <w:p w14:paraId="5F5377EA" w14:textId="77777777" w:rsidR="008C015F" w:rsidRPr="00212A87" w:rsidRDefault="0064568F">
      <w:pPr>
        <w:jc w:val="center"/>
      </w:pPr>
      <w:r>
        <w:t xml:space="preserve">Department </w:t>
      </w:r>
      <w:r w:rsidRPr="00212A87">
        <w:t>of Global Health &amp; Social Medicine</w:t>
      </w:r>
    </w:p>
    <w:p w14:paraId="202C34AF" w14:textId="7120A099" w:rsidR="008C015F" w:rsidRDefault="0064568F">
      <w:pPr>
        <w:jc w:val="center"/>
      </w:pPr>
      <w:r w:rsidRPr="00212A87">
        <w:t xml:space="preserve">Term </w:t>
      </w:r>
      <w:r w:rsidR="00D928CB" w:rsidRPr="00212A87">
        <w:t>1</w:t>
      </w:r>
      <w:r w:rsidRPr="00212A87">
        <w:t>, Autumn 20</w:t>
      </w:r>
      <w:r w:rsidR="0033130C">
        <w:t>20</w:t>
      </w:r>
      <w:r w:rsidRPr="00212A87">
        <w:t xml:space="preserve"> (</w:t>
      </w:r>
      <w:r w:rsidR="00D928CB" w:rsidRPr="00212A87">
        <w:t>15</w:t>
      </w:r>
      <w:r w:rsidRPr="00212A87">
        <w:t xml:space="preserve"> credits)</w:t>
      </w:r>
    </w:p>
    <w:p w14:paraId="5AEDEDE5" w14:textId="77777777" w:rsidR="008C015F" w:rsidRDefault="008C015F"/>
    <w:tbl>
      <w:tblPr>
        <w:tblStyle w:val="a"/>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2715"/>
        <w:gridCol w:w="1185"/>
        <w:gridCol w:w="4371"/>
      </w:tblGrid>
      <w:tr w:rsidR="008C015F" w14:paraId="53397CCD" w14:textId="77777777">
        <w:trPr>
          <w:trHeight w:val="220"/>
        </w:trPr>
        <w:tc>
          <w:tcPr>
            <w:tcW w:w="1740" w:type="dxa"/>
            <w:vMerge w:val="restart"/>
          </w:tcPr>
          <w:p w14:paraId="74CC5F9A" w14:textId="77777777" w:rsidR="008C015F" w:rsidRDefault="0064568F">
            <w:pPr>
              <w:spacing w:before="0" w:after="0"/>
              <w:rPr>
                <w:b/>
                <w:sz w:val="22"/>
                <w:szCs w:val="22"/>
              </w:rPr>
            </w:pPr>
            <w:r>
              <w:rPr>
                <w:b/>
                <w:sz w:val="22"/>
                <w:szCs w:val="22"/>
              </w:rPr>
              <w:t>Module Director</w:t>
            </w:r>
          </w:p>
        </w:tc>
        <w:tc>
          <w:tcPr>
            <w:tcW w:w="2715" w:type="dxa"/>
            <w:vMerge w:val="restart"/>
          </w:tcPr>
          <w:p w14:paraId="5F7C88FC" w14:textId="23925B14" w:rsidR="008C015F" w:rsidRDefault="00D928CB">
            <w:pPr>
              <w:spacing w:before="0" w:after="0"/>
              <w:rPr>
                <w:sz w:val="22"/>
                <w:szCs w:val="22"/>
              </w:rPr>
            </w:pPr>
            <w:r>
              <w:rPr>
                <w:sz w:val="22"/>
                <w:szCs w:val="22"/>
              </w:rPr>
              <w:t>Anne Pollock</w:t>
            </w:r>
          </w:p>
        </w:tc>
        <w:tc>
          <w:tcPr>
            <w:tcW w:w="1185" w:type="dxa"/>
          </w:tcPr>
          <w:p w14:paraId="47A01712" w14:textId="77777777" w:rsidR="008C015F" w:rsidRDefault="0064568F">
            <w:pPr>
              <w:spacing w:before="0" w:after="0"/>
              <w:rPr>
                <w:b/>
                <w:sz w:val="22"/>
                <w:szCs w:val="22"/>
              </w:rPr>
            </w:pPr>
            <w:r>
              <w:rPr>
                <w:b/>
                <w:sz w:val="22"/>
                <w:szCs w:val="22"/>
              </w:rPr>
              <w:t>E-mail</w:t>
            </w:r>
          </w:p>
        </w:tc>
        <w:tc>
          <w:tcPr>
            <w:tcW w:w="4371" w:type="dxa"/>
          </w:tcPr>
          <w:p w14:paraId="63A1DA1D" w14:textId="1CAA1150" w:rsidR="008C015F" w:rsidRDefault="00D928CB">
            <w:pPr>
              <w:spacing w:before="0" w:after="0"/>
              <w:rPr>
                <w:sz w:val="22"/>
                <w:szCs w:val="22"/>
              </w:rPr>
            </w:pPr>
            <w:r>
              <w:rPr>
                <w:sz w:val="22"/>
                <w:szCs w:val="22"/>
              </w:rPr>
              <w:t>anne.pollock@kcl.ac.uk</w:t>
            </w:r>
          </w:p>
        </w:tc>
      </w:tr>
      <w:tr w:rsidR="008C015F" w14:paraId="5AAD9561" w14:textId="77777777">
        <w:trPr>
          <w:trHeight w:val="220"/>
        </w:trPr>
        <w:tc>
          <w:tcPr>
            <w:tcW w:w="1740" w:type="dxa"/>
            <w:vMerge/>
          </w:tcPr>
          <w:p w14:paraId="5F759E63" w14:textId="77777777" w:rsidR="008C015F" w:rsidRDefault="008C015F">
            <w:pPr>
              <w:spacing w:before="0" w:after="0"/>
              <w:rPr>
                <w:b/>
                <w:sz w:val="22"/>
                <w:szCs w:val="22"/>
              </w:rPr>
            </w:pPr>
          </w:p>
        </w:tc>
        <w:tc>
          <w:tcPr>
            <w:tcW w:w="2715" w:type="dxa"/>
            <w:vMerge/>
          </w:tcPr>
          <w:p w14:paraId="3E4A149B" w14:textId="77777777" w:rsidR="008C015F" w:rsidRDefault="008C015F">
            <w:pPr>
              <w:spacing w:before="0" w:after="0"/>
              <w:rPr>
                <w:sz w:val="22"/>
                <w:szCs w:val="22"/>
              </w:rPr>
            </w:pPr>
          </w:p>
        </w:tc>
        <w:tc>
          <w:tcPr>
            <w:tcW w:w="1185" w:type="dxa"/>
          </w:tcPr>
          <w:p w14:paraId="3B055394" w14:textId="77777777" w:rsidR="008C015F" w:rsidRDefault="0064568F">
            <w:pPr>
              <w:spacing w:before="0" w:after="0"/>
              <w:rPr>
                <w:b/>
                <w:sz w:val="22"/>
                <w:szCs w:val="22"/>
              </w:rPr>
            </w:pPr>
            <w:r>
              <w:rPr>
                <w:b/>
                <w:sz w:val="22"/>
                <w:szCs w:val="22"/>
              </w:rPr>
              <w:t>Phone</w:t>
            </w:r>
          </w:p>
        </w:tc>
        <w:tc>
          <w:tcPr>
            <w:tcW w:w="4371" w:type="dxa"/>
          </w:tcPr>
          <w:p w14:paraId="5664235D" w14:textId="64EF7F9C" w:rsidR="008C015F" w:rsidRDefault="00F87FF1">
            <w:pPr>
              <w:spacing w:before="0" w:after="0"/>
              <w:rPr>
                <w:sz w:val="22"/>
                <w:szCs w:val="22"/>
              </w:rPr>
            </w:pPr>
            <w:r>
              <w:rPr>
                <w:sz w:val="22"/>
                <w:szCs w:val="22"/>
              </w:rPr>
              <w:t>(please use email only)</w:t>
            </w:r>
          </w:p>
        </w:tc>
      </w:tr>
      <w:tr w:rsidR="008C015F" w14:paraId="1DD7EE37" w14:textId="77777777">
        <w:trPr>
          <w:trHeight w:val="220"/>
        </w:trPr>
        <w:tc>
          <w:tcPr>
            <w:tcW w:w="1740" w:type="dxa"/>
            <w:vMerge/>
          </w:tcPr>
          <w:p w14:paraId="504887F9" w14:textId="77777777" w:rsidR="008C015F" w:rsidRDefault="008C015F">
            <w:pPr>
              <w:spacing w:before="0" w:after="0"/>
              <w:rPr>
                <w:b/>
                <w:sz w:val="22"/>
                <w:szCs w:val="22"/>
              </w:rPr>
            </w:pPr>
          </w:p>
        </w:tc>
        <w:tc>
          <w:tcPr>
            <w:tcW w:w="2715" w:type="dxa"/>
            <w:vMerge/>
          </w:tcPr>
          <w:p w14:paraId="09953E37" w14:textId="77777777" w:rsidR="008C015F" w:rsidRDefault="008C015F">
            <w:pPr>
              <w:spacing w:before="0" w:after="0"/>
              <w:rPr>
                <w:sz w:val="22"/>
                <w:szCs w:val="22"/>
              </w:rPr>
            </w:pPr>
          </w:p>
        </w:tc>
        <w:tc>
          <w:tcPr>
            <w:tcW w:w="1185" w:type="dxa"/>
          </w:tcPr>
          <w:p w14:paraId="3D8086E4" w14:textId="77777777" w:rsidR="008C015F" w:rsidRDefault="0064568F">
            <w:pPr>
              <w:spacing w:before="0" w:after="0"/>
              <w:rPr>
                <w:b/>
                <w:sz w:val="22"/>
                <w:szCs w:val="22"/>
              </w:rPr>
            </w:pPr>
            <w:r>
              <w:rPr>
                <w:b/>
                <w:sz w:val="22"/>
                <w:szCs w:val="22"/>
              </w:rPr>
              <w:t>Office</w:t>
            </w:r>
          </w:p>
        </w:tc>
        <w:tc>
          <w:tcPr>
            <w:tcW w:w="4371" w:type="dxa"/>
          </w:tcPr>
          <w:p w14:paraId="06C3BA8A" w14:textId="773D7568" w:rsidR="008C015F" w:rsidRDefault="00D928CB">
            <w:pPr>
              <w:spacing w:before="0" w:after="0"/>
              <w:rPr>
                <w:sz w:val="22"/>
                <w:szCs w:val="22"/>
              </w:rPr>
            </w:pPr>
            <w:r>
              <w:rPr>
                <w:sz w:val="22"/>
                <w:szCs w:val="22"/>
              </w:rPr>
              <w:t>Bush House North East, Room 3.15</w:t>
            </w:r>
          </w:p>
        </w:tc>
      </w:tr>
      <w:tr w:rsidR="008C015F" w14:paraId="56BD84EC" w14:textId="77777777">
        <w:trPr>
          <w:trHeight w:val="220"/>
        </w:trPr>
        <w:tc>
          <w:tcPr>
            <w:tcW w:w="1740" w:type="dxa"/>
            <w:vMerge/>
          </w:tcPr>
          <w:p w14:paraId="7FDA82A7" w14:textId="77777777" w:rsidR="008C015F" w:rsidRDefault="008C015F">
            <w:pPr>
              <w:spacing w:before="0" w:after="0"/>
              <w:rPr>
                <w:b/>
                <w:sz w:val="22"/>
                <w:szCs w:val="22"/>
              </w:rPr>
            </w:pPr>
          </w:p>
        </w:tc>
        <w:tc>
          <w:tcPr>
            <w:tcW w:w="2715" w:type="dxa"/>
            <w:vMerge/>
          </w:tcPr>
          <w:p w14:paraId="7CD3363A" w14:textId="77777777" w:rsidR="008C015F" w:rsidRDefault="008C015F">
            <w:pPr>
              <w:spacing w:before="0" w:after="0"/>
              <w:rPr>
                <w:sz w:val="22"/>
                <w:szCs w:val="22"/>
              </w:rPr>
            </w:pPr>
          </w:p>
        </w:tc>
        <w:tc>
          <w:tcPr>
            <w:tcW w:w="1185" w:type="dxa"/>
          </w:tcPr>
          <w:p w14:paraId="4DD44F1F" w14:textId="77777777" w:rsidR="008C015F" w:rsidRDefault="0064568F">
            <w:pPr>
              <w:spacing w:before="0" w:after="0"/>
              <w:rPr>
                <w:b/>
                <w:sz w:val="22"/>
                <w:szCs w:val="22"/>
              </w:rPr>
            </w:pPr>
            <w:r>
              <w:rPr>
                <w:b/>
                <w:sz w:val="22"/>
                <w:szCs w:val="22"/>
              </w:rPr>
              <w:t>Office Hours</w:t>
            </w:r>
          </w:p>
        </w:tc>
        <w:tc>
          <w:tcPr>
            <w:tcW w:w="4371" w:type="dxa"/>
          </w:tcPr>
          <w:p w14:paraId="64EC426F" w14:textId="0BDC591F" w:rsidR="008C015F" w:rsidRDefault="00127CD2">
            <w:pPr>
              <w:spacing w:before="0" w:after="0"/>
              <w:rPr>
                <w:sz w:val="22"/>
                <w:szCs w:val="22"/>
              </w:rPr>
            </w:pPr>
            <w:r>
              <w:rPr>
                <w:sz w:val="22"/>
                <w:szCs w:val="22"/>
              </w:rPr>
              <w:t>Fridays noon-1pm</w:t>
            </w:r>
            <w:r w:rsidR="00D928CB">
              <w:rPr>
                <w:sz w:val="22"/>
                <w:szCs w:val="22"/>
              </w:rPr>
              <w:t>, or by appointment</w:t>
            </w:r>
          </w:p>
        </w:tc>
      </w:tr>
      <w:tr w:rsidR="000017EB" w14:paraId="408A4E23" w14:textId="77777777" w:rsidTr="00824C86">
        <w:trPr>
          <w:trHeight w:val="220"/>
        </w:trPr>
        <w:tc>
          <w:tcPr>
            <w:tcW w:w="1740" w:type="dxa"/>
            <w:vMerge w:val="restart"/>
          </w:tcPr>
          <w:p w14:paraId="655400A3" w14:textId="5F563E9E" w:rsidR="000017EB" w:rsidRDefault="000017EB" w:rsidP="00824C86">
            <w:pPr>
              <w:spacing w:before="0" w:after="0"/>
              <w:rPr>
                <w:b/>
                <w:sz w:val="22"/>
                <w:szCs w:val="22"/>
              </w:rPr>
            </w:pPr>
            <w:r>
              <w:rPr>
                <w:b/>
                <w:sz w:val="22"/>
                <w:szCs w:val="22"/>
              </w:rPr>
              <w:t>Graduate Teaching Assistant</w:t>
            </w:r>
          </w:p>
        </w:tc>
        <w:tc>
          <w:tcPr>
            <w:tcW w:w="2715" w:type="dxa"/>
            <w:vMerge w:val="restart"/>
          </w:tcPr>
          <w:p w14:paraId="62A95E6E" w14:textId="54DCC531" w:rsidR="000017EB" w:rsidRDefault="0033130C" w:rsidP="00824C86">
            <w:pPr>
              <w:spacing w:before="0" w:after="0"/>
              <w:rPr>
                <w:sz w:val="22"/>
                <w:szCs w:val="22"/>
              </w:rPr>
            </w:pPr>
            <w:r w:rsidRPr="0033130C">
              <w:rPr>
                <w:sz w:val="22"/>
                <w:szCs w:val="22"/>
              </w:rPr>
              <w:t>Nickolas Surawy Stepney</w:t>
            </w:r>
          </w:p>
        </w:tc>
        <w:tc>
          <w:tcPr>
            <w:tcW w:w="1185" w:type="dxa"/>
          </w:tcPr>
          <w:p w14:paraId="16988D69" w14:textId="77777777" w:rsidR="000017EB" w:rsidRDefault="000017EB" w:rsidP="00824C86">
            <w:pPr>
              <w:spacing w:before="0" w:after="0"/>
              <w:rPr>
                <w:b/>
                <w:sz w:val="22"/>
                <w:szCs w:val="22"/>
              </w:rPr>
            </w:pPr>
            <w:r>
              <w:rPr>
                <w:b/>
                <w:sz w:val="22"/>
                <w:szCs w:val="22"/>
              </w:rPr>
              <w:t>E-mail</w:t>
            </w:r>
          </w:p>
        </w:tc>
        <w:tc>
          <w:tcPr>
            <w:tcW w:w="4371" w:type="dxa"/>
          </w:tcPr>
          <w:p w14:paraId="7575BAC0" w14:textId="7732C389" w:rsidR="000017EB" w:rsidRDefault="0033130C" w:rsidP="00824C86">
            <w:pPr>
              <w:spacing w:before="0" w:after="0"/>
              <w:rPr>
                <w:sz w:val="22"/>
                <w:szCs w:val="22"/>
              </w:rPr>
            </w:pPr>
            <w:r w:rsidRPr="0033130C">
              <w:rPr>
                <w:sz w:val="22"/>
                <w:szCs w:val="22"/>
              </w:rPr>
              <w:t>nickolas.surawy_stepney@kcl.ac.uk</w:t>
            </w:r>
          </w:p>
        </w:tc>
      </w:tr>
      <w:tr w:rsidR="000017EB" w14:paraId="658A5526" w14:textId="77777777" w:rsidTr="00824C86">
        <w:trPr>
          <w:trHeight w:val="220"/>
        </w:trPr>
        <w:tc>
          <w:tcPr>
            <w:tcW w:w="1740" w:type="dxa"/>
            <w:vMerge/>
          </w:tcPr>
          <w:p w14:paraId="14E46E42" w14:textId="77777777" w:rsidR="000017EB" w:rsidRDefault="000017EB" w:rsidP="00824C86">
            <w:pPr>
              <w:spacing w:before="0" w:after="0"/>
              <w:rPr>
                <w:b/>
                <w:sz w:val="22"/>
                <w:szCs w:val="22"/>
              </w:rPr>
            </w:pPr>
          </w:p>
        </w:tc>
        <w:tc>
          <w:tcPr>
            <w:tcW w:w="2715" w:type="dxa"/>
            <w:vMerge/>
          </w:tcPr>
          <w:p w14:paraId="1A668FC7" w14:textId="77777777" w:rsidR="000017EB" w:rsidRDefault="000017EB" w:rsidP="00824C86">
            <w:pPr>
              <w:spacing w:before="0" w:after="0"/>
              <w:rPr>
                <w:sz w:val="22"/>
                <w:szCs w:val="22"/>
              </w:rPr>
            </w:pPr>
          </w:p>
        </w:tc>
        <w:tc>
          <w:tcPr>
            <w:tcW w:w="1185" w:type="dxa"/>
          </w:tcPr>
          <w:p w14:paraId="6BA688CD" w14:textId="77777777" w:rsidR="000017EB" w:rsidRDefault="000017EB" w:rsidP="00824C86">
            <w:pPr>
              <w:spacing w:before="0" w:after="0"/>
              <w:rPr>
                <w:b/>
                <w:sz w:val="22"/>
                <w:szCs w:val="22"/>
              </w:rPr>
            </w:pPr>
            <w:r>
              <w:rPr>
                <w:b/>
                <w:sz w:val="22"/>
                <w:szCs w:val="22"/>
              </w:rPr>
              <w:t>Phone</w:t>
            </w:r>
          </w:p>
        </w:tc>
        <w:tc>
          <w:tcPr>
            <w:tcW w:w="4371" w:type="dxa"/>
          </w:tcPr>
          <w:p w14:paraId="6EDB138F" w14:textId="560AC6BC" w:rsidR="000017EB" w:rsidRDefault="005E4E5C" w:rsidP="00824C86">
            <w:pPr>
              <w:spacing w:before="0" w:after="0"/>
              <w:rPr>
                <w:sz w:val="22"/>
                <w:szCs w:val="22"/>
              </w:rPr>
            </w:pPr>
            <w:r>
              <w:rPr>
                <w:sz w:val="22"/>
                <w:szCs w:val="22"/>
              </w:rPr>
              <w:t>(please use email only)</w:t>
            </w:r>
          </w:p>
        </w:tc>
      </w:tr>
      <w:tr w:rsidR="000017EB" w14:paraId="431B255A" w14:textId="77777777" w:rsidTr="00824C86">
        <w:trPr>
          <w:trHeight w:val="220"/>
        </w:trPr>
        <w:tc>
          <w:tcPr>
            <w:tcW w:w="1740" w:type="dxa"/>
            <w:vMerge/>
          </w:tcPr>
          <w:p w14:paraId="06F18AEB" w14:textId="77777777" w:rsidR="000017EB" w:rsidRDefault="000017EB" w:rsidP="00824C86">
            <w:pPr>
              <w:spacing w:before="0" w:after="0"/>
              <w:rPr>
                <w:b/>
                <w:sz w:val="22"/>
                <w:szCs w:val="22"/>
              </w:rPr>
            </w:pPr>
          </w:p>
        </w:tc>
        <w:tc>
          <w:tcPr>
            <w:tcW w:w="2715" w:type="dxa"/>
            <w:vMerge/>
          </w:tcPr>
          <w:p w14:paraId="7B6B135D" w14:textId="77777777" w:rsidR="000017EB" w:rsidRDefault="000017EB" w:rsidP="00824C86">
            <w:pPr>
              <w:spacing w:before="0" w:after="0"/>
              <w:rPr>
                <w:sz w:val="22"/>
                <w:szCs w:val="22"/>
              </w:rPr>
            </w:pPr>
          </w:p>
        </w:tc>
        <w:tc>
          <w:tcPr>
            <w:tcW w:w="1185" w:type="dxa"/>
          </w:tcPr>
          <w:p w14:paraId="55D2C740" w14:textId="77777777" w:rsidR="000017EB" w:rsidRDefault="000017EB" w:rsidP="00824C86">
            <w:pPr>
              <w:spacing w:before="0" w:after="0"/>
              <w:rPr>
                <w:b/>
                <w:sz w:val="22"/>
                <w:szCs w:val="22"/>
              </w:rPr>
            </w:pPr>
            <w:r>
              <w:rPr>
                <w:b/>
                <w:sz w:val="22"/>
                <w:szCs w:val="22"/>
              </w:rPr>
              <w:t>Office</w:t>
            </w:r>
          </w:p>
        </w:tc>
        <w:tc>
          <w:tcPr>
            <w:tcW w:w="4371" w:type="dxa"/>
          </w:tcPr>
          <w:p w14:paraId="1232D4D2" w14:textId="608F16D4" w:rsidR="000017EB" w:rsidRDefault="000017EB" w:rsidP="00824C86">
            <w:pPr>
              <w:spacing w:before="0" w:after="0"/>
              <w:rPr>
                <w:sz w:val="22"/>
                <w:szCs w:val="22"/>
              </w:rPr>
            </w:pPr>
            <w:r>
              <w:rPr>
                <w:sz w:val="22"/>
                <w:szCs w:val="22"/>
              </w:rPr>
              <w:t>Bush House North East, 3</w:t>
            </w:r>
            <w:r w:rsidRPr="000017EB">
              <w:rPr>
                <w:sz w:val="22"/>
                <w:szCs w:val="22"/>
                <w:vertAlign w:val="superscript"/>
              </w:rPr>
              <w:t>rd</w:t>
            </w:r>
            <w:r>
              <w:rPr>
                <w:sz w:val="22"/>
                <w:szCs w:val="22"/>
              </w:rPr>
              <w:t xml:space="preserve"> floor</w:t>
            </w:r>
          </w:p>
        </w:tc>
      </w:tr>
      <w:tr w:rsidR="000017EB" w14:paraId="604CC976" w14:textId="77777777" w:rsidTr="00824C86">
        <w:trPr>
          <w:trHeight w:val="220"/>
        </w:trPr>
        <w:tc>
          <w:tcPr>
            <w:tcW w:w="1740" w:type="dxa"/>
            <w:vMerge/>
          </w:tcPr>
          <w:p w14:paraId="0374B5DB" w14:textId="77777777" w:rsidR="000017EB" w:rsidRDefault="000017EB" w:rsidP="00824C86">
            <w:pPr>
              <w:spacing w:before="0" w:after="0"/>
              <w:rPr>
                <w:b/>
                <w:sz w:val="22"/>
                <w:szCs w:val="22"/>
              </w:rPr>
            </w:pPr>
          </w:p>
        </w:tc>
        <w:tc>
          <w:tcPr>
            <w:tcW w:w="2715" w:type="dxa"/>
            <w:vMerge/>
          </w:tcPr>
          <w:p w14:paraId="2F7142F7" w14:textId="77777777" w:rsidR="000017EB" w:rsidRDefault="000017EB" w:rsidP="00824C86">
            <w:pPr>
              <w:spacing w:before="0" w:after="0"/>
              <w:rPr>
                <w:sz w:val="22"/>
                <w:szCs w:val="22"/>
              </w:rPr>
            </w:pPr>
          </w:p>
        </w:tc>
        <w:tc>
          <w:tcPr>
            <w:tcW w:w="1185" w:type="dxa"/>
          </w:tcPr>
          <w:p w14:paraId="2722BE3F" w14:textId="77777777" w:rsidR="000017EB" w:rsidRDefault="000017EB" w:rsidP="00824C86">
            <w:pPr>
              <w:spacing w:before="0" w:after="0"/>
              <w:rPr>
                <w:b/>
                <w:sz w:val="22"/>
                <w:szCs w:val="22"/>
              </w:rPr>
            </w:pPr>
            <w:r>
              <w:rPr>
                <w:b/>
                <w:sz w:val="22"/>
                <w:szCs w:val="22"/>
              </w:rPr>
              <w:t>Office Hours</w:t>
            </w:r>
          </w:p>
        </w:tc>
        <w:tc>
          <w:tcPr>
            <w:tcW w:w="4371" w:type="dxa"/>
          </w:tcPr>
          <w:p w14:paraId="7AE9396B" w14:textId="024B6516" w:rsidR="000017EB" w:rsidRDefault="00987E53" w:rsidP="00824C86">
            <w:pPr>
              <w:spacing w:before="0" w:after="0"/>
              <w:rPr>
                <w:sz w:val="22"/>
                <w:szCs w:val="22"/>
              </w:rPr>
            </w:pPr>
            <w:r>
              <w:rPr>
                <w:sz w:val="22"/>
                <w:szCs w:val="22"/>
              </w:rPr>
              <w:t>Thursday</w:t>
            </w:r>
            <w:r w:rsidR="00127CD2">
              <w:rPr>
                <w:sz w:val="22"/>
                <w:szCs w:val="22"/>
              </w:rPr>
              <w:t>s</w:t>
            </w:r>
            <w:r>
              <w:rPr>
                <w:sz w:val="22"/>
                <w:szCs w:val="22"/>
              </w:rPr>
              <w:t xml:space="preserve"> 10am-noon</w:t>
            </w:r>
          </w:p>
        </w:tc>
      </w:tr>
      <w:tr w:rsidR="008C015F" w14:paraId="7EC6AE74" w14:textId="77777777">
        <w:trPr>
          <w:trHeight w:val="220"/>
        </w:trPr>
        <w:tc>
          <w:tcPr>
            <w:tcW w:w="1740" w:type="dxa"/>
            <w:vMerge w:val="restart"/>
          </w:tcPr>
          <w:p w14:paraId="3FA14174" w14:textId="77777777" w:rsidR="008C015F" w:rsidRDefault="0064568F">
            <w:pPr>
              <w:spacing w:before="0" w:after="0"/>
              <w:rPr>
                <w:b/>
                <w:sz w:val="22"/>
                <w:szCs w:val="22"/>
              </w:rPr>
            </w:pPr>
            <w:r>
              <w:rPr>
                <w:b/>
                <w:sz w:val="22"/>
                <w:szCs w:val="22"/>
              </w:rPr>
              <w:t>Administrator</w:t>
            </w:r>
          </w:p>
        </w:tc>
        <w:tc>
          <w:tcPr>
            <w:tcW w:w="2715" w:type="dxa"/>
            <w:vMerge w:val="restart"/>
          </w:tcPr>
          <w:p w14:paraId="2858D250" w14:textId="62E6B0AA" w:rsidR="008C015F" w:rsidRDefault="001A244B">
            <w:pPr>
              <w:spacing w:before="0" w:after="0"/>
              <w:rPr>
                <w:sz w:val="22"/>
                <w:szCs w:val="22"/>
              </w:rPr>
            </w:pPr>
            <w:r>
              <w:rPr>
                <w:sz w:val="22"/>
                <w:szCs w:val="22"/>
              </w:rPr>
              <w:t>Timothy Rogers</w:t>
            </w:r>
          </w:p>
        </w:tc>
        <w:tc>
          <w:tcPr>
            <w:tcW w:w="1185" w:type="dxa"/>
          </w:tcPr>
          <w:p w14:paraId="7289125D" w14:textId="77777777" w:rsidR="008C015F" w:rsidRDefault="0064568F">
            <w:pPr>
              <w:spacing w:before="0" w:after="0"/>
              <w:rPr>
                <w:b/>
                <w:sz w:val="22"/>
                <w:szCs w:val="22"/>
              </w:rPr>
            </w:pPr>
            <w:r>
              <w:rPr>
                <w:b/>
                <w:sz w:val="22"/>
                <w:szCs w:val="22"/>
              </w:rPr>
              <w:t>E-mail</w:t>
            </w:r>
          </w:p>
        </w:tc>
        <w:tc>
          <w:tcPr>
            <w:tcW w:w="4371" w:type="dxa"/>
          </w:tcPr>
          <w:p w14:paraId="0F9268AF" w14:textId="28460EC9" w:rsidR="008C015F" w:rsidRDefault="001A244B">
            <w:pPr>
              <w:spacing w:before="0" w:after="0"/>
              <w:rPr>
                <w:sz w:val="22"/>
                <w:szCs w:val="22"/>
              </w:rPr>
            </w:pPr>
            <w:r w:rsidRPr="001A244B">
              <w:rPr>
                <w:sz w:val="22"/>
                <w:szCs w:val="22"/>
              </w:rPr>
              <w:t>timothy.j.rogers@kcl.ac.uk</w:t>
            </w:r>
          </w:p>
        </w:tc>
      </w:tr>
      <w:tr w:rsidR="008C015F" w14:paraId="278ECA25" w14:textId="77777777">
        <w:trPr>
          <w:trHeight w:val="220"/>
        </w:trPr>
        <w:tc>
          <w:tcPr>
            <w:tcW w:w="1740" w:type="dxa"/>
            <w:vMerge/>
          </w:tcPr>
          <w:p w14:paraId="271F90C7" w14:textId="77777777" w:rsidR="008C015F" w:rsidRDefault="008C015F">
            <w:pPr>
              <w:spacing w:before="0" w:after="0"/>
              <w:rPr>
                <w:b/>
                <w:sz w:val="22"/>
                <w:szCs w:val="22"/>
              </w:rPr>
            </w:pPr>
          </w:p>
        </w:tc>
        <w:tc>
          <w:tcPr>
            <w:tcW w:w="2715" w:type="dxa"/>
            <w:vMerge/>
          </w:tcPr>
          <w:p w14:paraId="0101E6DB" w14:textId="77777777" w:rsidR="008C015F" w:rsidRDefault="008C015F">
            <w:pPr>
              <w:spacing w:before="0" w:after="0"/>
              <w:rPr>
                <w:sz w:val="22"/>
                <w:szCs w:val="22"/>
              </w:rPr>
            </w:pPr>
          </w:p>
        </w:tc>
        <w:tc>
          <w:tcPr>
            <w:tcW w:w="1185" w:type="dxa"/>
          </w:tcPr>
          <w:p w14:paraId="41021AC1" w14:textId="77777777" w:rsidR="008C015F" w:rsidRDefault="0064568F">
            <w:pPr>
              <w:spacing w:before="0" w:after="0"/>
              <w:rPr>
                <w:b/>
                <w:sz w:val="22"/>
                <w:szCs w:val="22"/>
              </w:rPr>
            </w:pPr>
            <w:r>
              <w:rPr>
                <w:b/>
                <w:sz w:val="22"/>
                <w:szCs w:val="22"/>
              </w:rPr>
              <w:t>Phone</w:t>
            </w:r>
          </w:p>
        </w:tc>
        <w:tc>
          <w:tcPr>
            <w:tcW w:w="4371" w:type="dxa"/>
          </w:tcPr>
          <w:p w14:paraId="08C924A0" w14:textId="22B1EE91" w:rsidR="008C015F" w:rsidRDefault="0064568F">
            <w:pPr>
              <w:spacing w:before="0" w:after="0"/>
              <w:rPr>
                <w:sz w:val="22"/>
                <w:szCs w:val="22"/>
              </w:rPr>
            </w:pPr>
            <w:r>
              <w:rPr>
                <w:sz w:val="22"/>
                <w:szCs w:val="22"/>
              </w:rPr>
              <w:t xml:space="preserve">0207 848 1146 </w:t>
            </w:r>
          </w:p>
        </w:tc>
      </w:tr>
      <w:tr w:rsidR="008C015F" w14:paraId="40E813E9" w14:textId="77777777">
        <w:trPr>
          <w:trHeight w:val="220"/>
        </w:trPr>
        <w:tc>
          <w:tcPr>
            <w:tcW w:w="1740" w:type="dxa"/>
            <w:vMerge/>
          </w:tcPr>
          <w:p w14:paraId="2BEDB3E0" w14:textId="77777777" w:rsidR="008C015F" w:rsidRDefault="008C015F">
            <w:pPr>
              <w:spacing w:before="0" w:after="0"/>
              <w:rPr>
                <w:b/>
                <w:sz w:val="22"/>
                <w:szCs w:val="22"/>
              </w:rPr>
            </w:pPr>
          </w:p>
        </w:tc>
        <w:tc>
          <w:tcPr>
            <w:tcW w:w="2715" w:type="dxa"/>
            <w:vMerge/>
          </w:tcPr>
          <w:p w14:paraId="591A6853" w14:textId="77777777" w:rsidR="008C015F" w:rsidRDefault="008C015F">
            <w:pPr>
              <w:spacing w:before="0" w:after="0"/>
              <w:rPr>
                <w:sz w:val="22"/>
                <w:szCs w:val="22"/>
              </w:rPr>
            </w:pPr>
          </w:p>
        </w:tc>
        <w:tc>
          <w:tcPr>
            <w:tcW w:w="1185" w:type="dxa"/>
          </w:tcPr>
          <w:p w14:paraId="65210AB9" w14:textId="77777777" w:rsidR="008C015F" w:rsidRDefault="0064568F">
            <w:pPr>
              <w:spacing w:before="0" w:after="0"/>
              <w:rPr>
                <w:b/>
                <w:sz w:val="22"/>
                <w:szCs w:val="22"/>
              </w:rPr>
            </w:pPr>
            <w:r>
              <w:rPr>
                <w:b/>
                <w:sz w:val="22"/>
                <w:szCs w:val="22"/>
              </w:rPr>
              <w:t>Office</w:t>
            </w:r>
          </w:p>
        </w:tc>
        <w:tc>
          <w:tcPr>
            <w:tcW w:w="4371" w:type="dxa"/>
          </w:tcPr>
          <w:p w14:paraId="3FA53B7D" w14:textId="316D3AD6" w:rsidR="008C015F" w:rsidRDefault="00371D44">
            <w:pPr>
              <w:spacing w:before="0" w:after="0"/>
              <w:rPr>
                <w:sz w:val="22"/>
                <w:szCs w:val="22"/>
              </w:rPr>
            </w:pPr>
            <w:r>
              <w:rPr>
                <w:sz w:val="22"/>
                <w:szCs w:val="22"/>
              </w:rPr>
              <w:t xml:space="preserve">Room 4.01 Bush House, North East </w:t>
            </w:r>
          </w:p>
        </w:tc>
      </w:tr>
      <w:tr w:rsidR="008C015F" w14:paraId="21A30C6C" w14:textId="77777777">
        <w:tc>
          <w:tcPr>
            <w:tcW w:w="1740" w:type="dxa"/>
          </w:tcPr>
          <w:p w14:paraId="08C55B12" w14:textId="77777777" w:rsidR="008C015F" w:rsidRDefault="0064568F">
            <w:pPr>
              <w:spacing w:before="0" w:after="0"/>
              <w:rPr>
                <w:b/>
                <w:sz w:val="22"/>
                <w:szCs w:val="22"/>
              </w:rPr>
            </w:pPr>
            <w:bookmarkStart w:id="0" w:name="_gjdgxs" w:colFirst="0" w:colLast="0"/>
            <w:bookmarkEnd w:id="0"/>
            <w:r>
              <w:rPr>
                <w:b/>
                <w:sz w:val="22"/>
                <w:szCs w:val="22"/>
              </w:rPr>
              <w:t>Meeting times</w:t>
            </w:r>
          </w:p>
        </w:tc>
        <w:tc>
          <w:tcPr>
            <w:tcW w:w="2715" w:type="dxa"/>
          </w:tcPr>
          <w:p w14:paraId="164383B4" w14:textId="32F35D6D" w:rsidR="008C015F" w:rsidRDefault="00833F00">
            <w:pPr>
              <w:spacing w:before="0" w:after="0"/>
              <w:rPr>
                <w:sz w:val="22"/>
                <w:szCs w:val="22"/>
              </w:rPr>
            </w:pPr>
            <w:r>
              <w:rPr>
                <w:sz w:val="22"/>
                <w:szCs w:val="22"/>
              </w:rPr>
              <w:t xml:space="preserve">Fridays </w:t>
            </w:r>
            <w:r w:rsidR="001A244B">
              <w:rPr>
                <w:sz w:val="22"/>
                <w:szCs w:val="22"/>
              </w:rPr>
              <w:t>10am-noon</w:t>
            </w:r>
          </w:p>
        </w:tc>
        <w:tc>
          <w:tcPr>
            <w:tcW w:w="1185" w:type="dxa"/>
          </w:tcPr>
          <w:p w14:paraId="372052C7" w14:textId="77777777" w:rsidR="008C015F" w:rsidRDefault="0064568F">
            <w:pPr>
              <w:spacing w:before="0" w:after="0"/>
              <w:rPr>
                <w:b/>
                <w:sz w:val="22"/>
                <w:szCs w:val="22"/>
              </w:rPr>
            </w:pPr>
            <w:r>
              <w:rPr>
                <w:b/>
                <w:sz w:val="22"/>
                <w:szCs w:val="22"/>
              </w:rPr>
              <w:t>Location</w:t>
            </w:r>
          </w:p>
        </w:tc>
        <w:tc>
          <w:tcPr>
            <w:tcW w:w="4371" w:type="dxa"/>
          </w:tcPr>
          <w:p w14:paraId="6E147395" w14:textId="6AD674E4" w:rsidR="008C015F" w:rsidRDefault="00F444F4">
            <w:pPr>
              <w:spacing w:before="0" w:after="0"/>
              <w:rPr>
                <w:sz w:val="22"/>
                <w:szCs w:val="22"/>
              </w:rPr>
            </w:pPr>
            <w:r>
              <w:rPr>
                <w:sz w:val="22"/>
                <w:szCs w:val="22"/>
              </w:rPr>
              <w:t>Virtual: MS Teams</w:t>
            </w:r>
          </w:p>
        </w:tc>
      </w:tr>
      <w:tr w:rsidR="008C015F" w14:paraId="7EC1735E" w14:textId="77777777">
        <w:tc>
          <w:tcPr>
            <w:tcW w:w="10011" w:type="dxa"/>
            <w:gridSpan w:val="4"/>
          </w:tcPr>
          <w:p w14:paraId="0720574A" w14:textId="77777777" w:rsidR="008C015F" w:rsidRDefault="0064568F">
            <w:pPr>
              <w:spacing w:before="0" w:after="0"/>
              <w:rPr>
                <w:sz w:val="22"/>
                <w:szCs w:val="22"/>
              </w:rPr>
            </w:pPr>
            <w:r>
              <w:rPr>
                <w:sz w:val="22"/>
                <w:szCs w:val="22"/>
              </w:rPr>
              <w:t xml:space="preserve">Note:  Any communication from the Department about this module will be by e-mail addressed to you at your </w:t>
            </w:r>
            <w:hyperlink r:id="rId7">
              <w:r>
                <w:rPr>
                  <w:color w:val="0000FF"/>
                  <w:sz w:val="22"/>
                  <w:szCs w:val="22"/>
                  <w:u w:val="single"/>
                </w:rPr>
                <w:t>student@kcl.ac.uk</w:t>
              </w:r>
            </w:hyperlink>
            <w:r>
              <w:rPr>
                <w:sz w:val="22"/>
                <w:szCs w:val="22"/>
              </w:rPr>
              <w:t xml:space="preserve"> address. </w:t>
            </w:r>
          </w:p>
        </w:tc>
      </w:tr>
    </w:tbl>
    <w:p w14:paraId="5E73D3E9" w14:textId="77777777" w:rsidR="008C015F" w:rsidRDefault="008C015F">
      <w:pPr>
        <w:pStyle w:val="Heading3"/>
        <w:spacing w:before="0" w:after="0"/>
      </w:pPr>
    </w:p>
    <w:p w14:paraId="1C9567BD" w14:textId="77777777" w:rsidR="008C015F" w:rsidRDefault="0064568F">
      <w:pPr>
        <w:rPr>
          <w:b/>
        </w:rPr>
      </w:pPr>
      <w:r>
        <w:rPr>
          <w:b/>
        </w:rPr>
        <w:t>Aims of the module</w:t>
      </w:r>
    </w:p>
    <w:p w14:paraId="2B43CEB4" w14:textId="067F785C" w:rsidR="008C015F" w:rsidRDefault="00212A87">
      <w:r w:rsidRPr="00212A87">
        <w:t>This module is an advanced exploration of drugs and culture.  It uses historical, anthropological, sociological, and science studies approaches to provide students with both information and analytical tools to grapple with the intersections of drugs and culture in society.  Attending to the whole life cycle of drugs – from production to consumption, and how those intersect – provides opportunities to think creatively about how drugs matter culturally, moving beyond common sense and simplistic pro and con answers to social and policy questions.  Over the course of the semester, we will read broadly about of a variety of drugs, including those that straddle medicine and recreation, as well as those that are unquestionably on one side (e.g. antiretrovirals) or the other (e.g. heroin).  We will be attentive to how expert knowledges about drugs are produced, and how drugs are enrolled in narratives of health and danger in broader public spheres.  Each student will choose one drug to analyze in depth, with small assignments building toward a final essay that considers that particular drug in cultural context.</w:t>
      </w:r>
    </w:p>
    <w:p w14:paraId="01C9B113" w14:textId="77777777" w:rsidR="00212A87" w:rsidRDefault="00212A87"/>
    <w:p w14:paraId="0D1EB53B" w14:textId="77777777" w:rsidR="00FC5953" w:rsidRDefault="00FC5953">
      <w:pPr>
        <w:rPr>
          <w:b/>
        </w:rPr>
      </w:pPr>
    </w:p>
    <w:p w14:paraId="635D8AE2" w14:textId="46D24E9D" w:rsidR="008C015F" w:rsidRDefault="0064568F">
      <w:pPr>
        <w:rPr>
          <w:b/>
        </w:rPr>
      </w:pPr>
      <w:r>
        <w:rPr>
          <w:b/>
        </w:rPr>
        <w:lastRenderedPageBreak/>
        <w:t>Learning outcomes</w:t>
      </w:r>
    </w:p>
    <w:p w14:paraId="7526A005" w14:textId="77777777" w:rsidR="00212A87" w:rsidRPr="00212A87" w:rsidRDefault="00212A87" w:rsidP="00212A87">
      <w:pPr>
        <w:numPr>
          <w:ilvl w:val="0"/>
          <w:numId w:val="3"/>
        </w:numPr>
        <w:rPr>
          <w:lang w:val="en-GB"/>
        </w:rPr>
      </w:pPr>
      <w:r w:rsidRPr="00212A87">
        <w:rPr>
          <w:lang w:val="en-GB"/>
        </w:rPr>
        <w:t>To be exposed to a range of key themes in the scholarship of drugs and culture </w:t>
      </w:r>
    </w:p>
    <w:p w14:paraId="65D5E410" w14:textId="77777777" w:rsidR="00212A87" w:rsidRPr="00212A87" w:rsidRDefault="00212A87" w:rsidP="00212A87">
      <w:pPr>
        <w:numPr>
          <w:ilvl w:val="0"/>
          <w:numId w:val="3"/>
        </w:numPr>
        <w:rPr>
          <w:lang w:val="en-GB"/>
        </w:rPr>
      </w:pPr>
      <w:r w:rsidRPr="00212A87">
        <w:rPr>
          <w:lang w:val="en-GB"/>
        </w:rPr>
        <w:t>To use the scholarship of drugs and culture as a window into broader scientific and cultural questions</w:t>
      </w:r>
    </w:p>
    <w:p w14:paraId="599B2A94" w14:textId="77777777" w:rsidR="00212A87" w:rsidRPr="00212A87" w:rsidRDefault="00212A87" w:rsidP="00212A87">
      <w:pPr>
        <w:numPr>
          <w:ilvl w:val="0"/>
          <w:numId w:val="3"/>
        </w:numPr>
        <w:rPr>
          <w:lang w:val="en-GB"/>
        </w:rPr>
      </w:pPr>
      <w:r w:rsidRPr="00212A87">
        <w:rPr>
          <w:lang w:val="en-GB"/>
        </w:rPr>
        <w:t>To gain in‐depth knowledge about a particular drug of interest </w:t>
      </w:r>
    </w:p>
    <w:p w14:paraId="30BD57C4" w14:textId="77777777" w:rsidR="00212A87" w:rsidRPr="00212A87" w:rsidRDefault="00212A87" w:rsidP="00212A87">
      <w:pPr>
        <w:numPr>
          <w:ilvl w:val="0"/>
          <w:numId w:val="3"/>
        </w:numPr>
        <w:rPr>
          <w:lang w:val="en-GB"/>
        </w:rPr>
      </w:pPr>
      <w:r w:rsidRPr="00212A87">
        <w:rPr>
          <w:lang w:val="en-GB"/>
        </w:rPr>
        <w:t>To hone writing skills to produce a polished research-based essay</w:t>
      </w:r>
    </w:p>
    <w:p w14:paraId="74EE757A" w14:textId="77777777" w:rsidR="008C015F" w:rsidRDefault="008C015F"/>
    <w:p w14:paraId="1AADFB77" w14:textId="77777777" w:rsidR="008C015F" w:rsidRDefault="008C015F">
      <w:pPr>
        <w:spacing w:before="0" w:after="0"/>
        <w:rPr>
          <w:b/>
        </w:rPr>
      </w:pPr>
    </w:p>
    <w:p w14:paraId="1F94CA37" w14:textId="77777777" w:rsidR="008C015F" w:rsidRDefault="0064568F">
      <w:pPr>
        <w:spacing w:before="0" w:after="0"/>
        <w:rPr>
          <w:b/>
        </w:rPr>
      </w:pPr>
      <w:r>
        <w:rPr>
          <w:b/>
        </w:rPr>
        <w:t>Readings</w:t>
      </w:r>
    </w:p>
    <w:p w14:paraId="2A1E6C7C" w14:textId="36884B7D" w:rsidR="008C015F" w:rsidRDefault="0064568F">
      <w:pPr>
        <w:spacing w:before="0" w:after="0"/>
      </w:pPr>
      <w:r>
        <w:t xml:space="preserve">There are </w:t>
      </w:r>
      <w:r w:rsidR="00B7737A">
        <w:t>two</w:t>
      </w:r>
      <w:r>
        <w:t xml:space="preserve"> types of readings for this course. </w:t>
      </w:r>
      <w:r>
        <w:rPr>
          <w:u w:val="single"/>
        </w:rPr>
        <w:t>Core</w:t>
      </w:r>
      <w:r>
        <w:t xml:space="preserve"> readings are essential reading for all students on the course. </w:t>
      </w:r>
      <w:r>
        <w:rPr>
          <w:u w:val="single"/>
        </w:rPr>
        <w:t>Recommended</w:t>
      </w:r>
      <w:r>
        <w:t xml:space="preserve"> readings are resources which are strongly recommended. </w:t>
      </w:r>
    </w:p>
    <w:p w14:paraId="6C3495FB" w14:textId="77777777" w:rsidR="008C015F" w:rsidRDefault="008C015F">
      <w:pPr>
        <w:spacing w:before="0" w:after="0"/>
      </w:pPr>
    </w:p>
    <w:p w14:paraId="386A9C38" w14:textId="38186D1C" w:rsidR="008C015F" w:rsidRDefault="0064568F">
      <w:pPr>
        <w:pStyle w:val="Heading3"/>
        <w:spacing w:before="0" w:after="0"/>
        <w:rPr>
          <w:b w:val="0"/>
        </w:rPr>
      </w:pPr>
      <w:bookmarkStart w:id="1" w:name="_1ad5htkasu7q" w:colFirst="0" w:colLast="0"/>
      <w:bookmarkEnd w:id="1"/>
      <w:r>
        <w:rPr>
          <w:b w:val="0"/>
        </w:rPr>
        <w:t xml:space="preserve">Readings are available via </w:t>
      </w:r>
      <w:hyperlink r:id="rId8">
        <w:r>
          <w:rPr>
            <w:b w:val="0"/>
            <w:color w:val="1155CC"/>
            <w:u w:val="single"/>
          </w:rPr>
          <w:t>King’s MyReadingLists</w:t>
        </w:r>
      </w:hyperlink>
      <w:r>
        <w:rPr>
          <w:b w:val="0"/>
        </w:rPr>
        <w:t xml:space="preserve"> or through </w:t>
      </w:r>
      <w:hyperlink r:id="rId9">
        <w:r>
          <w:rPr>
            <w:b w:val="0"/>
            <w:color w:val="1155CC"/>
            <w:u w:val="single"/>
          </w:rPr>
          <w:t>King’s library services</w:t>
        </w:r>
      </w:hyperlink>
      <w:r>
        <w:rPr>
          <w:b w:val="0"/>
        </w:rPr>
        <w:t xml:space="preserve">. Some books are accessible as </w:t>
      </w:r>
      <w:hyperlink r:id="rId10">
        <w:r>
          <w:rPr>
            <w:b w:val="0"/>
            <w:color w:val="1155CC"/>
            <w:u w:val="single"/>
          </w:rPr>
          <w:t>eBooks</w:t>
        </w:r>
      </w:hyperlink>
      <w:r>
        <w:rPr>
          <w:b w:val="0"/>
        </w:rPr>
        <w:t xml:space="preserve">. The MyReadingList for this module can be found </w:t>
      </w:r>
      <w:hyperlink r:id="rId11" w:history="1">
        <w:r w:rsidRPr="0028556C">
          <w:rPr>
            <w:rStyle w:val="Hyperlink"/>
            <w:b w:val="0"/>
          </w:rPr>
          <w:t>here</w:t>
        </w:r>
      </w:hyperlink>
      <w:r w:rsidR="0028556C">
        <w:rPr>
          <w:b w:val="0"/>
        </w:rPr>
        <w:t>.</w:t>
      </w:r>
      <w:r>
        <w:rPr>
          <w:b w:val="0"/>
        </w:rPr>
        <w:t xml:space="preserve"> </w:t>
      </w:r>
      <w:r w:rsidR="005E4CAE">
        <w:rPr>
          <w:b w:val="0"/>
        </w:rPr>
        <w:t>If you have any trouble accessing the readings there, please contact the GTA.</w:t>
      </w:r>
    </w:p>
    <w:p w14:paraId="6CF7E8AF" w14:textId="77777777" w:rsidR="008C015F" w:rsidRDefault="008C015F"/>
    <w:p w14:paraId="7DA66154" w14:textId="77777777" w:rsidR="008C015F" w:rsidRDefault="0064568F">
      <w:pPr>
        <w:pStyle w:val="Heading3"/>
        <w:spacing w:before="0" w:after="0"/>
        <w:rPr>
          <w:smallCaps/>
        </w:rPr>
      </w:pPr>
      <w:r>
        <w:t>King’s E-learning and Teaching Service (</w:t>
      </w:r>
      <w:r>
        <w:rPr>
          <w:smallCaps/>
        </w:rPr>
        <w:t>KEATS)</w:t>
      </w:r>
    </w:p>
    <w:p w14:paraId="72F0D91C" w14:textId="77777777" w:rsidR="008C015F" w:rsidRDefault="004321E7">
      <w:hyperlink r:id="rId12">
        <w:r w:rsidR="0064568F">
          <w:rPr>
            <w:color w:val="1155CC"/>
            <w:u w:val="single"/>
          </w:rPr>
          <w:t>KEATS</w:t>
        </w:r>
      </w:hyperlink>
      <w:r w:rsidR="0064568F">
        <w:t xml:space="preserve"> is the Virtual Learning Environment that the College uses to support teaching and learning, providing functionality that can replicate, enhance or extend the same kinds of activities that would take place in regular teaching. You will be able to access module handbooks, electronic lecture handouts and MyReadingLists through KEATS, as well as submitting your assignments via Turnitin. Student Support self-help guides for using KEATS are available in video and downloadable step-by-step PDF formats when you log on, with an IT Service Desk and other useful information. As soon as you have your King’s user account you can self-enrol onto the student support course to familiarise yourself with the system before teaching starts.</w:t>
      </w:r>
    </w:p>
    <w:p w14:paraId="1CC60248" w14:textId="77777777" w:rsidR="008C015F" w:rsidRDefault="008C015F"/>
    <w:p w14:paraId="7352486A" w14:textId="77777777" w:rsidR="008C015F" w:rsidRDefault="0064568F">
      <w:pPr>
        <w:rPr>
          <w:b/>
        </w:rPr>
      </w:pPr>
      <w:r>
        <w:rPr>
          <w:b/>
        </w:rPr>
        <w:t>Attendance</w:t>
      </w:r>
    </w:p>
    <w:p w14:paraId="0BF29729" w14:textId="0E4731EA" w:rsidR="00D10CC9" w:rsidRDefault="004E6DFB">
      <w:pPr>
        <w:spacing w:before="0" w:after="120"/>
      </w:pPr>
      <w:r>
        <w:t xml:space="preserve">In this extraordinary term, the module will be taught </w:t>
      </w:r>
      <w:r w:rsidR="00D10CC9">
        <w:t>online, with asynchronous and synchronous components.</w:t>
      </w:r>
    </w:p>
    <w:p w14:paraId="1526C501" w14:textId="542DE203" w:rsidR="00D10CC9" w:rsidRPr="00D10CC9" w:rsidRDefault="00D10CC9">
      <w:pPr>
        <w:spacing w:before="0" w:after="120"/>
      </w:pPr>
      <w:r>
        <w:t>S</w:t>
      </w:r>
      <w:r w:rsidR="004E6DFB">
        <w:t xml:space="preserve">ome </w:t>
      </w:r>
      <w:r>
        <w:t xml:space="preserve">lecture material will be pre-recorded in short segments, and available one week in advance of each timetabled session. Students should watch this </w:t>
      </w:r>
      <w:r w:rsidR="00727444">
        <w:t xml:space="preserve">material </w:t>
      </w:r>
      <w:r>
        <w:t xml:space="preserve">whenever is most convenient for them, </w:t>
      </w:r>
      <w:r>
        <w:rPr>
          <w:i/>
          <w:iCs/>
        </w:rPr>
        <w:t xml:space="preserve">in advance </w:t>
      </w:r>
      <w:r>
        <w:t>of the scheduled synchronous session.</w:t>
      </w:r>
    </w:p>
    <w:p w14:paraId="36B0F68E" w14:textId="7CF1A362" w:rsidR="008C015F" w:rsidRDefault="00D10CC9">
      <w:pPr>
        <w:spacing w:before="0" w:after="120"/>
        <w:rPr>
          <w:b/>
        </w:rPr>
      </w:pPr>
      <w:r>
        <w:t xml:space="preserve">There will also be a </w:t>
      </w:r>
      <w:r w:rsidR="004E6DFB">
        <w:t>weekly discussion</w:t>
      </w:r>
      <w:r>
        <w:t xml:space="preserve"> online,</w:t>
      </w:r>
      <w:r w:rsidR="004E6DFB">
        <w:t xml:space="preserve"> during the timetabled time. </w:t>
      </w:r>
      <w:r w:rsidR="0064568F">
        <w:t xml:space="preserve">Students are expected to </w:t>
      </w:r>
      <w:r w:rsidR="00727444">
        <w:t xml:space="preserve">attend every </w:t>
      </w:r>
      <w:r>
        <w:t xml:space="preserve">synchronous </w:t>
      </w:r>
      <w:r w:rsidR="00727444">
        <w:t xml:space="preserve">virtual </w:t>
      </w:r>
      <w:r>
        <w:t>discussion, and to inform the GTA if they are not able to do so for any reason</w:t>
      </w:r>
      <w:r w:rsidR="0064568F">
        <w:t xml:space="preserve">. </w:t>
      </w:r>
    </w:p>
    <w:p w14:paraId="3DEF7CBA" w14:textId="77777777" w:rsidR="008C015F" w:rsidRDefault="008C015F">
      <w:pPr>
        <w:pStyle w:val="Heading3"/>
        <w:spacing w:before="0" w:after="0"/>
      </w:pPr>
    </w:p>
    <w:p w14:paraId="2790CEED" w14:textId="77777777" w:rsidR="008C015F" w:rsidRDefault="0064568F">
      <w:pPr>
        <w:pStyle w:val="Heading3"/>
        <w:spacing w:before="0" w:after="0"/>
      </w:pPr>
      <w:r>
        <w:t>Assessment and assessment guidelines</w:t>
      </w:r>
    </w:p>
    <w:p w14:paraId="0611F3E0" w14:textId="77777777" w:rsidR="00212A87" w:rsidRPr="00212A87" w:rsidRDefault="00212A87" w:rsidP="00212A87">
      <w:pPr>
        <w:pStyle w:val="Heading3"/>
        <w:spacing w:before="280" w:after="0"/>
        <w:rPr>
          <w:b w:val="0"/>
          <w:lang w:val="en-GB"/>
        </w:rPr>
      </w:pPr>
      <w:bookmarkStart w:id="2" w:name="_2za7ar7d0org" w:colFirst="0" w:colLast="0"/>
      <w:bookmarkEnd w:id="2"/>
      <w:r w:rsidRPr="00212A87">
        <w:rPr>
          <w:b w:val="0"/>
          <w:lang w:val="en-GB"/>
        </w:rPr>
        <w:t>Assignments:</w:t>
      </w:r>
    </w:p>
    <w:p w14:paraId="79C5985C" w14:textId="66751DBC" w:rsidR="00212A87" w:rsidRPr="00212A87" w:rsidRDefault="00E13C09" w:rsidP="00212A87">
      <w:pPr>
        <w:pStyle w:val="Heading3"/>
        <w:numPr>
          <w:ilvl w:val="0"/>
          <w:numId w:val="4"/>
        </w:numPr>
        <w:spacing w:before="280" w:after="0"/>
        <w:rPr>
          <w:b w:val="0"/>
          <w:lang w:val="en-GB"/>
        </w:rPr>
      </w:pPr>
      <w:bookmarkStart w:id="3" w:name="_Hlk51591187"/>
      <w:r>
        <w:rPr>
          <w:b w:val="0"/>
          <w:lang w:val="en-GB"/>
        </w:rPr>
        <w:t>Weekly Reading Reflections</w:t>
      </w:r>
      <w:r w:rsidR="00212A87" w:rsidRPr="00212A87">
        <w:rPr>
          <w:b w:val="0"/>
          <w:lang w:val="en-GB"/>
        </w:rPr>
        <w:t xml:space="preserve"> </w:t>
      </w:r>
      <w:r w:rsidR="00B24100">
        <w:rPr>
          <w:b w:val="0"/>
          <w:lang w:val="en-GB"/>
        </w:rPr>
        <w:t>–</w:t>
      </w:r>
      <w:r w:rsidR="00212A87" w:rsidRPr="00212A87">
        <w:rPr>
          <w:b w:val="0"/>
          <w:lang w:val="en-GB"/>
        </w:rPr>
        <w:t xml:space="preserve"> </w:t>
      </w:r>
      <w:r w:rsidR="00B24100">
        <w:rPr>
          <w:b w:val="0"/>
          <w:lang w:val="en-GB"/>
        </w:rPr>
        <w:t>100</w:t>
      </w:r>
      <w:r w:rsidR="00103336">
        <w:rPr>
          <w:b w:val="0"/>
          <w:lang w:val="en-GB"/>
        </w:rPr>
        <w:t>-</w:t>
      </w:r>
      <w:r w:rsidR="00B24100">
        <w:rPr>
          <w:b w:val="0"/>
          <w:lang w:val="en-GB"/>
        </w:rPr>
        <w:t>200</w:t>
      </w:r>
      <w:r w:rsidR="00212A87" w:rsidRPr="00212A87">
        <w:rPr>
          <w:b w:val="0"/>
          <w:lang w:val="en-GB"/>
        </w:rPr>
        <w:t xml:space="preserve"> words</w:t>
      </w:r>
      <w:r w:rsidR="00B24100">
        <w:rPr>
          <w:b w:val="0"/>
          <w:lang w:val="en-GB"/>
        </w:rPr>
        <w:t>/week</w:t>
      </w:r>
      <w:r w:rsidR="00212A87" w:rsidRPr="00212A87">
        <w:rPr>
          <w:b w:val="0"/>
          <w:lang w:val="en-GB"/>
        </w:rPr>
        <w:t xml:space="preserve"> </w:t>
      </w:r>
      <w:r w:rsidR="00B24100">
        <w:rPr>
          <w:b w:val="0"/>
          <w:lang w:val="en-GB"/>
        </w:rPr>
        <w:t>–</w:t>
      </w:r>
      <w:r w:rsidR="00212A87" w:rsidRPr="00212A87">
        <w:rPr>
          <w:b w:val="0"/>
          <w:lang w:val="en-GB"/>
        </w:rPr>
        <w:t xml:space="preserve"> </w:t>
      </w:r>
      <w:r w:rsidR="00B24100">
        <w:rPr>
          <w:b w:val="0"/>
          <w:lang w:val="en-GB"/>
        </w:rPr>
        <w:t xml:space="preserve">due </w:t>
      </w:r>
      <w:r w:rsidR="00604163">
        <w:rPr>
          <w:b w:val="0"/>
          <w:lang w:val="en-GB"/>
        </w:rPr>
        <w:t xml:space="preserve">weekly, 24 hours </w:t>
      </w:r>
      <w:r w:rsidR="00B24100">
        <w:rPr>
          <w:b w:val="0"/>
          <w:lang w:val="en-GB"/>
        </w:rPr>
        <w:t xml:space="preserve">before each </w:t>
      </w:r>
      <w:r w:rsidR="00727444">
        <w:rPr>
          <w:b w:val="0"/>
          <w:lang w:val="en-GB"/>
        </w:rPr>
        <w:t xml:space="preserve">synchronous session </w:t>
      </w:r>
      <w:r w:rsidR="00212A87" w:rsidRPr="00212A87">
        <w:rPr>
          <w:b w:val="0"/>
          <w:lang w:val="en-GB"/>
        </w:rPr>
        <w:t>(formative)</w:t>
      </w:r>
    </w:p>
    <w:bookmarkEnd w:id="3"/>
    <w:p w14:paraId="2C730645" w14:textId="0542EA35" w:rsidR="00212A87" w:rsidRPr="00212A87" w:rsidRDefault="00212A87" w:rsidP="00212A87">
      <w:pPr>
        <w:pStyle w:val="Heading3"/>
        <w:numPr>
          <w:ilvl w:val="0"/>
          <w:numId w:val="4"/>
        </w:numPr>
        <w:spacing w:before="280" w:after="0"/>
        <w:rPr>
          <w:b w:val="0"/>
          <w:lang w:val="en-GB"/>
        </w:rPr>
      </w:pPr>
      <w:r w:rsidRPr="00212A87">
        <w:rPr>
          <w:b w:val="0"/>
          <w:lang w:val="en-GB"/>
        </w:rPr>
        <w:t xml:space="preserve">Annotated bibliography - 1000 words - due </w:t>
      </w:r>
      <w:r w:rsidR="00831DB7">
        <w:rPr>
          <w:b w:val="0"/>
          <w:lang w:val="en-GB"/>
        </w:rPr>
        <w:t>12</w:t>
      </w:r>
      <w:r w:rsidR="00FC5953" w:rsidRPr="00FC5953">
        <w:rPr>
          <w:b w:val="0"/>
          <w:vertAlign w:val="superscript"/>
          <w:lang w:val="en-GB"/>
        </w:rPr>
        <w:t>th</w:t>
      </w:r>
      <w:r w:rsidR="00FC5953">
        <w:rPr>
          <w:b w:val="0"/>
          <w:lang w:val="en-GB"/>
        </w:rPr>
        <w:t xml:space="preserve"> </w:t>
      </w:r>
      <w:r w:rsidR="00A344E3">
        <w:rPr>
          <w:b w:val="0"/>
          <w:lang w:val="en-GB"/>
        </w:rPr>
        <w:t>November</w:t>
      </w:r>
      <w:r w:rsidRPr="00212A87">
        <w:rPr>
          <w:b w:val="0"/>
          <w:lang w:val="en-GB"/>
        </w:rPr>
        <w:t>, 4pm (30%)</w:t>
      </w:r>
    </w:p>
    <w:p w14:paraId="610F10DC" w14:textId="36183F23" w:rsidR="000A66D3" w:rsidRDefault="00212A87" w:rsidP="000A66D3">
      <w:pPr>
        <w:pStyle w:val="Heading3"/>
        <w:numPr>
          <w:ilvl w:val="0"/>
          <w:numId w:val="4"/>
        </w:numPr>
        <w:spacing w:before="280" w:after="0"/>
        <w:rPr>
          <w:b w:val="0"/>
          <w:lang w:val="en-GB"/>
        </w:rPr>
      </w:pPr>
      <w:r w:rsidRPr="00212A87">
        <w:rPr>
          <w:b w:val="0"/>
          <w:lang w:val="en-GB"/>
        </w:rPr>
        <w:t xml:space="preserve">Final essay - 1500 words - due </w:t>
      </w:r>
      <w:r w:rsidR="006F7855">
        <w:rPr>
          <w:b w:val="0"/>
          <w:lang w:val="en-GB"/>
        </w:rPr>
        <w:t>18</w:t>
      </w:r>
      <w:r w:rsidR="006F7855" w:rsidRPr="006F7855">
        <w:rPr>
          <w:b w:val="0"/>
          <w:vertAlign w:val="superscript"/>
          <w:lang w:val="en-GB"/>
        </w:rPr>
        <w:t>th</w:t>
      </w:r>
      <w:r w:rsidR="006F7855">
        <w:rPr>
          <w:b w:val="0"/>
          <w:lang w:val="en-GB"/>
        </w:rPr>
        <w:t xml:space="preserve"> </w:t>
      </w:r>
      <w:r w:rsidRPr="00212A87">
        <w:rPr>
          <w:b w:val="0"/>
          <w:lang w:val="en-GB"/>
        </w:rPr>
        <w:t xml:space="preserve">December, </w:t>
      </w:r>
      <w:r w:rsidR="00FC5953">
        <w:rPr>
          <w:b w:val="0"/>
          <w:lang w:val="en-GB"/>
        </w:rPr>
        <w:t>4</w:t>
      </w:r>
      <w:r w:rsidRPr="00212A87">
        <w:rPr>
          <w:b w:val="0"/>
          <w:lang w:val="en-GB"/>
        </w:rPr>
        <w:t>pm (70%)</w:t>
      </w:r>
    </w:p>
    <w:p w14:paraId="5B3AFB1A" w14:textId="00C0090A" w:rsidR="000A66D3" w:rsidRDefault="000A66D3" w:rsidP="000A66D3">
      <w:pPr>
        <w:rPr>
          <w:lang w:val="en-GB"/>
        </w:rPr>
      </w:pPr>
    </w:p>
    <w:p w14:paraId="1862F8BE" w14:textId="77777777" w:rsidR="000A66D3" w:rsidRDefault="000A66D3" w:rsidP="000A66D3">
      <w:pPr>
        <w:rPr>
          <w:b/>
          <w:bCs/>
        </w:rPr>
      </w:pPr>
    </w:p>
    <w:p w14:paraId="27ED5955" w14:textId="77777777" w:rsidR="000A66D3" w:rsidRPr="001D586B" w:rsidRDefault="000A66D3" w:rsidP="000A66D3">
      <w:pPr>
        <w:pStyle w:val="Heading3"/>
        <w:spacing w:before="0" w:after="0"/>
        <w:rPr>
          <w:b w:val="0"/>
          <w:bCs/>
        </w:rPr>
      </w:pPr>
      <w:r w:rsidRPr="000A66D3">
        <w:t>Formative – due weekly, Thursdays at noon</w:t>
      </w:r>
      <w:r w:rsidRPr="001D586B">
        <w:rPr>
          <w:bCs/>
        </w:rPr>
        <w:t xml:space="preserve"> </w:t>
      </w:r>
    </w:p>
    <w:p w14:paraId="5788D038" w14:textId="77777777" w:rsidR="000A66D3" w:rsidRDefault="000A66D3" w:rsidP="000A66D3">
      <w:r w:rsidRPr="00D06A7A">
        <w:t>Weekly Reading Reflections – 100-200 words/week</w:t>
      </w:r>
      <w:r>
        <w:br/>
      </w:r>
      <w:r w:rsidRPr="00DC0F76">
        <w:t>Post on Padlet, with a link to the Module’s Padlet</w:t>
      </w:r>
      <w:r>
        <w:br/>
        <w:t>First post will be created during first synchronous class session, thereafter post 24 hrs before class</w:t>
      </w:r>
      <w:r>
        <w:br/>
      </w:r>
    </w:p>
    <w:p w14:paraId="36A8D2FB" w14:textId="77777777" w:rsidR="000A66D3" w:rsidRPr="000A66D3" w:rsidRDefault="000A66D3" w:rsidP="000A66D3">
      <w:pPr>
        <w:pStyle w:val="Heading3"/>
        <w:spacing w:before="0" w:after="0"/>
      </w:pPr>
      <w:r w:rsidRPr="000A66D3">
        <w:t>Summative – Annotated Bibliography – Due Thursday 12th November 4pm (30%)</w:t>
      </w:r>
    </w:p>
    <w:p w14:paraId="5BF9A81C" w14:textId="77777777" w:rsidR="00493A2D" w:rsidRDefault="00493A2D" w:rsidP="00493A2D">
      <w:pPr>
        <w:rPr>
          <w:lang w:val="en-US"/>
        </w:rPr>
      </w:pPr>
      <w:r w:rsidRPr="00D06A7A">
        <w:rPr>
          <w:lang w:val="en-US"/>
        </w:rPr>
        <w:t>An annotated bibliography is a list of citations to books and articles in which each citation is followed by a brief description of the source </w:t>
      </w:r>
      <w:r w:rsidRPr="00D06A7A">
        <w:rPr>
          <w:i/>
          <w:iCs/>
          <w:u w:val="single"/>
          <w:lang w:val="en-US"/>
        </w:rPr>
        <w:t>in your own words</w:t>
      </w:r>
      <w:r w:rsidRPr="00D06A7A">
        <w:rPr>
          <w:lang w:val="en-US"/>
        </w:rPr>
        <w:t>. </w:t>
      </w:r>
    </w:p>
    <w:p w14:paraId="053D13BF" w14:textId="5C203E0F" w:rsidR="00493A2D" w:rsidRPr="00D06A7A" w:rsidRDefault="00493A2D" w:rsidP="00493A2D">
      <w:r w:rsidRPr="00D06A7A">
        <w:rPr>
          <w:lang w:val="en-US"/>
        </w:rPr>
        <w:t> </w:t>
      </w:r>
    </w:p>
    <w:p w14:paraId="132B464E" w14:textId="77777777" w:rsidR="00493A2D" w:rsidRPr="00D06A7A" w:rsidRDefault="00493A2D" w:rsidP="00493A2D">
      <w:r w:rsidRPr="00D06A7A">
        <w:rPr>
          <w:lang w:val="en-US"/>
        </w:rPr>
        <w:t>This annotated bibliography must have </w:t>
      </w:r>
      <w:r w:rsidRPr="00D06A7A">
        <w:rPr>
          <w:b/>
          <w:bCs/>
          <w:lang w:val="en-US"/>
        </w:rPr>
        <w:t>five</w:t>
      </w:r>
      <w:r w:rsidRPr="00D06A7A">
        <w:rPr>
          <w:lang w:val="en-US"/>
        </w:rPr>
        <w:t> citations+annotations of </w:t>
      </w:r>
      <w:r w:rsidRPr="00D06A7A">
        <w:rPr>
          <w:b/>
          <w:bCs/>
          <w:lang w:val="en-US"/>
        </w:rPr>
        <w:t>scholarly texts </w:t>
      </w:r>
      <w:r w:rsidRPr="00D06A7A">
        <w:rPr>
          <w:lang w:val="en-US"/>
        </w:rPr>
        <w:t>relevant to the drug</w:t>
      </w:r>
      <w:r w:rsidRPr="00D06A7A">
        <w:rPr>
          <w:b/>
          <w:bCs/>
          <w:lang w:val="en-US"/>
        </w:rPr>
        <w:t> </w:t>
      </w:r>
      <w:r w:rsidRPr="00D06A7A">
        <w:rPr>
          <w:lang w:val="en-US"/>
        </w:rPr>
        <w:t>that you will be analyzing in the final paper.</w:t>
      </w:r>
      <w:r>
        <w:rPr>
          <w:lang w:val="en-US"/>
        </w:rPr>
        <w:t xml:space="preserve"> These sources might be specifically focused on the drug in question, or might be directly relevant to analysis of it.</w:t>
      </w:r>
      <w:r w:rsidRPr="00D06A7A">
        <w:rPr>
          <w:lang w:val="en-US"/>
        </w:rPr>
        <w:t> </w:t>
      </w:r>
      <w:r w:rsidRPr="00D06A7A">
        <w:rPr>
          <w:b/>
          <w:bCs/>
          <w:lang w:val="en-US"/>
        </w:rPr>
        <w:t>Three </w:t>
      </w:r>
      <w:r w:rsidRPr="00D06A7A">
        <w:rPr>
          <w:lang w:val="en-US"/>
        </w:rPr>
        <w:t>of the sources must be liberal arts sources (from the humanities or social sciences), and </w:t>
      </w:r>
      <w:r w:rsidRPr="00D06A7A">
        <w:rPr>
          <w:b/>
          <w:bCs/>
          <w:lang w:val="en-US"/>
        </w:rPr>
        <w:t>two </w:t>
      </w:r>
      <w:r w:rsidRPr="00D06A7A">
        <w:rPr>
          <w:lang w:val="en-US"/>
        </w:rPr>
        <w:t>of the sources must be biomedical sources (from the biosciences or medicine).</w:t>
      </w:r>
    </w:p>
    <w:p w14:paraId="7E34CF7C" w14:textId="77777777" w:rsidR="00493A2D" w:rsidRPr="00AF7BAD" w:rsidRDefault="00493A2D" w:rsidP="00493A2D">
      <w:r w:rsidRPr="007A28F1">
        <w:rPr>
          <w:lang w:val="en-US"/>
        </w:rPr>
        <w:t>The annotated bibliography must include:</w:t>
      </w:r>
    </w:p>
    <w:p w14:paraId="4B08CE3E" w14:textId="77777777" w:rsidR="00493A2D" w:rsidRPr="00493A2D" w:rsidRDefault="00493A2D" w:rsidP="00493A2D">
      <w:pPr>
        <w:pStyle w:val="ListParagraph"/>
        <w:numPr>
          <w:ilvl w:val="0"/>
          <w:numId w:val="5"/>
        </w:numPr>
        <w:rPr>
          <w:rFonts w:ascii="Trebuchet MS" w:hAnsi="Trebuchet MS"/>
        </w:rPr>
      </w:pPr>
      <w:r w:rsidRPr="00493A2D">
        <w:rPr>
          <w:rFonts w:ascii="Trebuchet MS" w:hAnsi="Trebuchet MS"/>
          <w:i/>
          <w:iCs/>
          <w:u w:val="single"/>
          <w:lang w:val="en-US"/>
        </w:rPr>
        <w:t>Full</w:t>
      </w:r>
      <w:r w:rsidRPr="00493A2D">
        <w:rPr>
          <w:rFonts w:ascii="Trebuchet MS" w:hAnsi="Trebuchet MS"/>
          <w:lang w:val="en-US"/>
        </w:rPr>
        <w:t> citations for each source.</w:t>
      </w:r>
    </w:p>
    <w:p w14:paraId="2BDD06A7" w14:textId="77777777" w:rsidR="00493A2D" w:rsidRPr="00493A2D" w:rsidRDefault="00493A2D" w:rsidP="00493A2D">
      <w:pPr>
        <w:pStyle w:val="ListParagraph"/>
        <w:numPr>
          <w:ilvl w:val="0"/>
          <w:numId w:val="5"/>
        </w:numPr>
        <w:rPr>
          <w:rFonts w:ascii="Trebuchet MS" w:hAnsi="Trebuchet MS"/>
        </w:rPr>
      </w:pPr>
      <w:r w:rsidRPr="00493A2D">
        <w:rPr>
          <w:rFonts w:ascii="Trebuchet MS" w:hAnsi="Trebuchet MS"/>
          <w:lang w:val="en-US"/>
        </w:rPr>
        <w:t>Descriptions of the content of each source in your own words: 150 words minimum, 180 words maximum</w:t>
      </w:r>
    </w:p>
    <w:p w14:paraId="5954FE3F" w14:textId="77777777" w:rsidR="00493A2D" w:rsidRPr="00D06A7A" w:rsidRDefault="00493A2D" w:rsidP="00493A2D">
      <w:r w:rsidRPr="00D06A7A">
        <w:rPr>
          <w:lang w:val="en-US"/>
        </w:rPr>
        <w:t xml:space="preserve">The sources should be diverse.  The richer the sources, the more useful the assignment will be for building to your final project.  The annotations must carefully describe the cited source in your own words, giving a clear sense of what each specific source is claiming and on what basis. Although for the eventual paper you will be free to use a wide variety of sources, this assignment needs to use scholarly sources only. A good rule of thumb is that a scholarly source always (1) cites its sources and (2) indicates the institutional affiliation of the author (generally an academic institution, occasionally government).  Many sources appropriate for this assignment will appear in academic journals, such as </w:t>
      </w:r>
      <w:r w:rsidRPr="00D06A7A">
        <w:rPr>
          <w:lang w:val="en-US"/>
        </w:rPr>
        <w:lastRenderedPageBreak/>
        <w:t>general or specialist bio/medical journals, and liberal arts venues such as </w:t>
      </w:r>
      <w:r w:rsidRPr="00D06A7A">
        <w:rPr>
          <w:i/>
          <w:iCs/>
          <w:lang w:val="en-US"/>
        </w:rPr>
        <w:t>Science as Culture, Body &amp; Society</w:t>
      </w:r>
      <w:r w:rsidRPr="00D06A7A">
        <w:rPr>
          <w:lang w:val="en-US"/>
        </w:rPr>
        <w:t>, </w:t>
      </w:r>
      <w:r w:rsidRPr="00D06A7A">
        <w:rPr>
          <w:i/>
          <w:iCs/>
          <w:lang w:val="en-US"/>
        </w:rPr>
        <w:t>BioSocieties</w:t>
      </w:r>
      <w:r w:rsidRPr="00D06A7A">
        <w:rPr>
          <w:lang w:val="en-US"/>
        </w:rPr>
        <w:t>, </w:t>
      </w:r>
      <w:r w:rsidRPr="00D06A7A">
        <w:rPr>
          <w:i/>
          <w:iCs/>
          <w:lang w:val="en-US"/>
        </w:rPr>
        <w:t>Social Studies of Science</w:t>
      </w:r>
      <w:r w:rsidRPr="00D06A7A">
        <w:rPr>
          <w:lang w:val="en-US"/>
        </w:rPr>
        <w:t>, </w:t>
      </w:r>
      <w:r w:rsidRPr="00D06A7A">
        <w:rPr>
          <w:i/>
          <w:iCs/>
          <w:lang w:val="en-US"/>
        </w:rPr>
        <w:t>Social Science and Medicine</w:t>
      </w:r>
      <w:r w:rsidRPr="00D06A7A">
        <w:rPr>
          <w:lang w:val="en-US"/>
        </w:rPr>
        <w:t>, </w:t>
      </w:r>
      <w:r w:rsidRPr="00D06A7A">
        <w:rPr>
          <w:i/>
          <w:iCs/>
          <w:lang w:val="en-US"/>
        </w:rPr>
        <w:t>Bulletin of the History of Medicine</w:t>
      </w:r>
      <w:r w:rsidRPr="00D06A7A">
        <w:rPr>
          <w:lang w:val="en-US"/>
        </w:rPr>
        <w:t>, or in edited collections such as </w:t>
      </w:r>
      <w:r w:rsidRPr="00D06A7A">
        <w:rPr>
          <w:i/>
          <w:iCs/>
          <w:lang w:val="en-US"/>
        </w:rPr>
        <w:t>Medicating Modern America </w:t>
      </w:r>
      <w:r w:rsidRPr="00D06A7A">
        <w:rPr>
          <w:lang w:val="en-US"/>
        </w:rPr>
        <w:t>(edited by Andrea Tone).  A chapter of a book-length study might also be appropriate.</w:t>
      </w:r>
    </w:p>
    <w:p w14:paraId="32BC8B0C" w14:textId="13B32459" w:rsidR="000A66D3" w:rsidRPr="00D06A7A" w:rsidRDefault="00493A2D" w:rsidP="000A66D3">
      <w:r w:rsidRPr="004B0045">
        <w:t xml:space="preserve">For this </w:t>
      </w:r>
      <w:r>
        <w:t xml:space="preserve">particular </w:t>
      </w:r>
      <w:r w:rsidRPr="004B0045">
        <w:t xml:space="preserve">assignment, </w:t>
      </w:r>
      <w:r>
        <w:t xml:space="preserve">you must also include an additional, separate, clearly-written paragraph at the top that moves out a level of abstraction to characterize the sources as a whole in your own words, to lay out the scholarly landscape around the drug in question. </w:t>
      </w:r>
    </w:p>
    <w:p w14:paraId="062F1385" w14:textId="77777777" w:rsidR="000A66D3" w:rsidRPr="00104E13" w:rsidRDefault="000A66D3" w:rsidP="000A66D3">
      <w:pPr>
        <w:rPr>
          <w:b/>
          <w:bCs/>
          <w:u w:val="single"/>
        </w:rPr>
      </w:pPr>
    </w:p>
    <w:p w14:paraId="570C85B8" w14:textId="77777777" w:rsidR="000A66D3" w:rsidRPr="000A66D3" w:rsidRDefault="000A66D3" w:rsidP="000A66D3">
      <w:pPr>
        <w:pStyle w:val="Heading3"/>
        <w:spacing w:before="0" w:after="0"/>
      </w:pPr>
      <w:r w:rsidRPr="000A66D3">
        <w:t>Summative – Final Essay – Due Friday 18th December 4pm (70%)</w:t>
      </w:r>
    </w:p>
    <w:p w14:paraId="1672CAB9" w14:textId="77777777" w:rsidR="000A66D3" w:rsidRPr="00D06A7A" w:rsidRDefault="000A66D3" w:rsidP="000A66D3">
      <w:r w:rsidRPr="004A4FA1">
        <w:rPr>
          <w:lang w:val="en-US"/>
        </w:rPr>
        <w:t>Write a 1500 word essay that analyzes the particular drug of your choosing in cultural context.  The paper must have an insightful analytical thesis that articulates a compelling, independent, original perspective on the drug at hand. It must also demonstrate mastery over a range of concepts from texts that we have read in this module as well as from diverse, relevant outside sources.</w:t>
      </w:r>
    </w:p>
    <w:p w14:paraId="62276A05" w14:textId="77777777" w:rsidR="000A66D3" w:rsidRPr="000A66D3" w:rsidRDefault="000A66D3" w:rsidP="000A66D3">
      <w:pPr>
        <w:rPr>
          <w:lang w:val="en-GB"/>
        </w:rPr>
      </w:pPr>
    </w:p>
    <w:p w14:paraId="5383996E" w14:textId="77777777" w:rsidR="008C015F" w:rsidRDefault="0064568F">
      <w:pPr>
        <w:pStyle w:val="Heading3"/>
        <w:keepNext w:val="0"/>
        <w:keepLines w:val="0"/>
        <w:spacing w:before="280" w:after="0"/>
        <w:rPr>
          <w:b w:val="0"/>
          <w:u w:val="single"/>
        </w:rPr>
      </w:pPr>
      <w:r>
        <w:rPr>
          <w:b w:val="0"/>
          <w:u w:val="single"/>
        </w:rPr>
        <w:t>Essay and examination guidance</w:t>
      </w:r>
    </w:p>
    <w:p w14:paraId="7AA1E866" w14:textId="003C1E8E" w:rsidR="008C015F" w:rsidRDefault="0064568F">
      <w:pPr>
        <w:rPr>
          <w:highlight w:val="yellow"/>
        </w:rPr>
      </w:pPr>
      <w:r>
        <w:t xml:space="preserve">Your Programme Handbook contains general “tips for writing essays” and “pointers for exams”. Both entries contain a wealth of information that will help you to succeed in your assessments. Please read them carefully. </w:t>
      </w:r>
    </w:p>
    <w:p w14:paraId="305D9049" w14:textId="77777777" w:rsidR="008C015F" w:rsidRDefault="008C015F"/>
    <w:p w14:paraId="1075047C" w14:textId="77777777" w:rsidR="008C015F" w:rsidRDefault="0064568F">
      <w:pPr>
        <w:pStyle w:val="Heading3"/>
        <w:spacing w:before="0" w:after="0"/>
        <w:rPr>
          <w:b w:val="0"/>
          <w:u w:val="single"/>
        </w:rPr>
      </w:pPr>
      <w:r>
        <w:rPr>
          <w:b w:val="0"/>
          <w:u w:val="single"/>
        </w:rPr>
        <w:t>Plagiarism</w:t>
      </w:r>
    </w:p>
    <w:p w14:paraId="7439B2DB" w14:textId="77777777" w:rsidR="008C015F" w:rsidRDefault="0064568F">
      <w:r>
        <w:t xml:space="preserve">You </w:t>
      </w:r>
      <w:r>
        <w:rPr>
          <w:b/>
        </w:rPr>
        <w:t xml:space="preserve">must read </w:t>
      </w:r>
      <w:r>
        <w:t xml:space="preserve">the </w:t>
      </w:r>
      <w:hyperlink r:id="rId13">
        <w:r>
          <w:rPr>
            <w:color w:val="1155CC"/>
            <w:u w:val="single"/>
          </w:rPr>
          <w:t>College guidelines regarding plagiarism</w:t>
        </w:r>
      </w:hyperlink>
      <w:r>
        <w:t xml:space="preserve">. Please also carefully read the section on Plagiarism in your Programme Handbook. </w:t>
      </w:r>
    </w:p>
    <w:p w14:paraId="648F6308" w14:textId="77777777" w:rsidR="008C015F" w:rsidRDefault="008C015F"/>
    <w:p w14:paraId="6BD72443" w14:textId="77777777" w:rsidR="008C015F" w:rsidRDefault="0064568F">
      <w:r>
        <w:t>Plagiarism is cheating. It is also the theft of other people’s work. If you are uncertain about what constitutes plagiarism, a good basic rule to remember is: If you are using someone else’s words, they need to be in quotation marks and accurately referenced. If you are using your own words to express someone else’s ideas you need to provide an accurate reference to the source. If you do not do either of these things you are plagiarising. Don’t forget that the same rules apply to your own work – you can plagiarise yourself, too, and you cannot use the same work for more than one assessment. Remember that you sign a statement saying that you have read and understood the rules regarding plagiarism so ignorance will not be accepted as an excuse.</w:t>
      </w:r>
    </w:p>
    <w:p w14:paraId="37970FEF" w14:textId="77777777" w:rsidR="008C015F" w:rsidRDefault="008C015F"/>
    <w:p w14:paraId="394B0563" w14:textId="77777777" w:rsidR="008C015F" w:rsidRDefault="0064568F">
      <w:r>
        <w:t xml:space="preserve">The consequences of plagiarism or self-plagiarism can be severe: </w:t>
      </w:r>
      <w:r>
        <w:rPr>
          <w:i/>
        </w:rPr>
        <w:t>plagiarism will result in serious penalties from being given zero for the piece of work to, in more serious cases, failing the course or even being expelled from the College</w:t>
      </w:r>
      <w:r>
        <w:t>.</w:t>
      </w:r>
    </w:p>
    <w:p w14:paraId="0E1A7E56" w14:textId="77777777" w:rsidR="008C015F" w:rsidRDefault="008C015F">
      <w:pPr>
        <w:widowControl w:val="0"/>
        <w:spacing w:before="0" w:after="0"/>
        <w:rPr>
          <w:b/>
          <w:color w:val="262626"/>
        </w:rPr>
      </w:pPr>
    </w:p>
    <w:p w14:paraId="296D54C7" w14:textId="77777777" w:rsidR="008C015F" w:rsidRDefault="0064568F">
      <w:pPr>
        <w:rPr>
          <w:color w:val="212121"/>
          <w:u w:val="single"/>
        </w:rPr>
      </w:pPr>
      <w:r>
        <w:rPr>
          <w:color w:val="212121"/>
          <w:u w:val="single"/>
        </w:rPr>
        <w:t>Plagiarism checking</w:t>
      </w:r>
    </w:p>
    <w:p w14:paraId="625A1E39" w14:textId="77777777" w:rsidR="008C015F" w:rsidRDefault="0064568F">
      <w:pPr>
        <w:rPr>
          <w:color w:val="212121"/>
        </w:rPr>
      </w:pPr>
      <w:r>
        <w:rPr>
          <w:color w:val="212121"/>
        </w:rPr>
        <w:lastRenderedPageBreak/>
        <w:t xml:space="preserve">You are able to submit drafts of essays in advance to the plagiarism checking software on KEATS, Turnitin. Turnitin will generate a report which will enable you to check the similarity score to known work prior to submission of your final draft. </w:t>
      </w:r>
      <w:r>
        <w:rPr>
          <w:b/>
          <w:color w:val="212121"/>
        </w:rPr>
        <w:t>PLEASE NOTE</w:t>
      </w:r>
      <w:r>
        <w:rPr>
          <w:color w:val="212121"/>
        </w:rPr>
        <w:t xml:space="preserve">: Turnitin will only give you </w:t>
      </w:r>
      <w:r>
        <w:rPr>
          <w:b/>
          <w:color w:val="212121"/>
        </w:rPr>
        <w:t>one similarity report in each 24 hours</w:t>
      </w:r>
      <w:r>
        <w:rPr>
          <w:color w:val="212121"/>
        </w:rPr>
        <w:t>. This means that if you have uploaded a document within the last 24 hours, your upload will be shown as “pending” until the Turnitin report has been generated. The document will have been submitted at the time of the upload, even if it is shown as “pending” – it is the Turnitin report that is pending. You can replace your uploaded assignment at any time before the deadline, but you will not be able to generate more than one similarity report in each 24 hours.</w:t>
      </w:r>
    </w:p>
    <w:p w14:paraId="364658EF" w14:textId="77777777" w:rsidR="008C015F" w:rsidRDefault="0064568F">
      <w:pPr>
        <w:rPr>
          <w:color w:val="212121"/>
        </w:rPr>
      </w:pPr>
      <w:r>
        <w:rPr>
          <w:color w:val="1F497D"/>
        </w:rPr>
        <w:t> </w:t>
      </w:r>
    </w:p>
    <w:p w14:paraId="43CE95B3" w14:textId="77777777" w:rsidR="008C015F" w:rsidRDefault="0064568F">
      <w:pPr>
        <w:rPr>
          <w:u w:val="single"/>
        </w:rPr>
      </w:pPr>
      <w:r>
        <w:rPr>
          <w:u w:val="single"/>
        </w:rPr>
        <w:t>Uploading the right document to KEATS</w:t>
      </w:r>
    </w:p>
    <w:p w14:paraId="6751DBCD" w14:textId="77777777" w:rsidR="008C015F" w:rsidRDefault="0064568F">
      <w:pPr>
        <w:rPr>
          <w:color w:val="212121"/>
        </w:rPr>
      </w:pPr>
      <w:r>
        <w:rPr>
          <w:color w:val="212121"/>
        </w:rPr>
        <w:t>It is </w:t>
      </w:r>
      <w:r>
        <w:rPr>
          <w:b/>
          <w:color w:val="212121"/>
        </w:rPr>
        <w:t>your responsibility</w:t>
      </w:r>
      <w:r>
        <w:rPr>
          <w:color w:val="212121"/>
        </w:rPr>
        <w:t> to ensure that the correct and final version of your assignment is uploaded to KEATS for grading. We strongly suggest that you include the word “FINAL” in the name of your final draft of each assignment so that you are </w:t>
      </w:r>
      <w:r>
        <w:rPr>
          <w:b/>
          <w:color w:val="212121"/>
        </w:rPr>
        <w:t>sure</w:t>
      </w:r>
      <w:r>
        <w:rPr>
          <w:color w:val="212121"/>
        </w:rPr>
        <w:t> you are selecting the correct assignment to upload.  </w:t>
      </w:r>
      <w:r>
        <w:rPr>
          <w:b/>
          <w:color w:val="212121"/>
        </w:rPr>
        <w:t>The document that you upload to KEATS is the document that will be graded</w:t>
      </w:r>
      <w:r>
        <w:rPr>
          <w:color w:val="212121"/>
        </w:rPr>
        <w:t>. Leave yourself plenty of time to upload your assignments to KEATS to make sure you submit the correct file in time.</w:t>
      </w:r>
    </w:p>
    <w:p w14:paraId="4A6A3744" w14:textId="77777777" w:rsidR="008C015F" w:rsidRDefault="008C015F">
      <w:pPr>
        <w:rPr>
          <w:color w:val="212121"/>
        </w:rPr>
      </w:pPr>
    </w:p>
    <w:p w14:paraId="67D705D7" w14:textId="77777777" w:rsidR="008C015F" w:rsidRDefault="0064568F">
      <w:pPr>
        <w:rPr>
          <w:color w:val="212121"/>
          <w:u w:val="single"/>
        </w:rPr>
      </w:pPr>
      <w:r>
        <w:rPr>
          <w:color w:val="212121"/>
          <w:u w:val="single"/>
        </w:rPr>
        <w:t>Backing Up Your Work</w:t>
      </w:r>
    </w:p>
    <w:p w14:paraId="2F8E2D93" w14:textId="6B43EC87" w:rsidR="008C015F" w:rsidRDefault="0064568F">
      <w:pPr>
        <w:rPr>
          <w:color w:val="212121"/>
        </w:rPr>
      </w:pPr>
      <w:r>
        <w:rPr>
          <w:color w:val="212121"/>
        </w:rPr>
        <w:t>Please note that it is very important to keep backup copies of your work in progress. These should *at all times* be in a *separate location* from your own laptop or computer, and there should be no possibility of cross-infection of a virus from your computer to your backup source (e.g. as there would be from a laptop to a USB if you plug the USB into the laptop). Many things can go wrong with computers including viruses, crashes, theft, and destruction in other ways e.g. in a fire. Remember that you all have access to your own personal space on the server at King's and so please make sure that you regularly backup your important work to that space, or from that space if you generally save your work there. If you do not have access to another computer then you can regularly email your important work to a friend or even to yourself, so that it is at least somewhere. There are also many cloud-computing services that allow you to back up your work for free.</w:t>
      </w:r>
    </w:p>
    <w:p w14:paraId="3E24BC56" w14:textId="77777777" w:rsidR="00357306" w:rsidRDefault="00357306">
      <w:pPr>
        <w:tabs>
          <w:tab w:val="left" w:pos="3840"/>
        </w:tabs>
        <w:ind w:right="-47"/>
        <w:jc w:val="both"/>
        <w:rPr>
          <w:u w:val="single"/>
        </w:rPr>
      </w:pPr>
    </w:p>
    <w:p w14:paraId="7C77301F" w14:textId="6EAB5690" w:rsidR="008C015F" w:rsidRDefault="0064568F">
      <w:pPr>
        <w:tabs>
          <w:tab w:val="left" w:pos="3840"/>
        </w:tabs>
        <w:ind w:right="-47"/>
        <w:jc w:val="both"/>
        <w:rPr>
          <w:u w:val="single"/>
        </w:rPr>
      </w:pPr>
      <w:r>
        <w:rPr>
          <w:u w:val="single"/>
        </w:rPr>
        <w:t xml:space="preserve">Word Limit  </w:t>
      </w:r>
    </w:p>
    <w:p w14:paraId="037E1FA9" w14:textId="77777777" w:rsidR="008C015F" w:rsidRDefault="0064568F">
      <w:r>
        <w:t>All written work submitted must include a word count on the cover-sheet. The falsification of word counts is deemed to be an act of misconduct and treated accordingly. You may not exceed the word limit.</w:t>
      </w:r>
    </w:p>
    <w:p w14:paraId="18913664" w14:textId="77777777" w:rsidR="008C015F" w:rsidRDefault="008C015F">
      <w:pPr>
        <w:tabs>
          <w:tab w:val="left" w:pos="3840"/>
        </w:tabs>
        <w:ind w:right="-47"/>
        <w:jc w:val="both"/>
      </w:pPr>
    </w:p>
    <w:p w14:paraId="15E06350" w14:textId="77777777" w:rsidR="008C015F" w:rsidRDefault="0064568F">
      <w:pPr>
        <w:tabs>
          <w:tab w:val="left" w:pos="3840"/>
        </w:tabs>
        <w:ind w:right="-47"/>
        <w:jc w:val="both"/>
      </w:pPr>
      <w:r>
        <w:t xml:space="preserve">The penalties for exceeding the word limit are as follows: </w:t>
      </w:r>
      <w:r>
        <w:rPr>
          <w:b/>
        </w:rPr>
        <w:t>From one word up to 2% over the word limit, 1 mark will be deducted from the final mark awarded for that assignment; from 2% plus one word to 4% over the word limit, 2 marks will be deducted; and so on for each 2% above that.</w:t>
      </w:r>
      <w:r>
        <w:t xml:space="preserve"> For example, submitting </w:t>
      </w:r>
      <w:r>
        <w:lastRenderedPageBreak/>
        <w:t>2,200 words for an assignment which has a maximum length of 2,000 words (i.e., 10% over the word limit), means that the awarded mark will have 5 marks deducted (e.g., a mark of 60 will be reduced to a mark of 55).</w:t>
      </w:r>
    </w:p>
    <w:p w14:paraId="5C4EA464" w14:textId="77777777" w:rsidR="008C015F" w:rsidRDefault="008C015F">
      <w:pPr>
        <w:tabs>
          <w:tab w:val="left" w:pos="3840"/>
        </w:tabs>
        <w:ind w:right="-47"/>
        <w:jc w:val="both"/>
      </w:pPr>
    </w:p>
    <w:p w14:paraId="5005703C" w14:textId="69E6D2BE" w:rsidR="008C015F" w:rsidRDefault="0064568F">
      <w:pPr>
        <w:tabs>
          <w:tab w:val="left" w:pos="3840"/>
        </w:tabs>
        <w:ind w:right="-47"/>
        <w:jc w:val="both"/>
        <w:rPr>
          <w:b/>
        </w:rPr>
      </w:pPr>
      <w:r w:rsidRPr="0028556C">
        <w:rPr>
          <w:b/>
        </w:rPr>
        <w:t xml:space="preserve">Please note that the word count for this module differs from what you may encounter in other modules. In the present module, the word limit includes </w:t>
      </w:r>
      <w:r w:rsidR="0028556C" w:rsidRPr="0028556C">
        <w:rPr>
          <w:b/>
        </w:rPr>
        <w:t>text, tables, and figures but does not include footnotes or references</w:t>
      </w:r>
      <w:r w:rsidRPr="0028556C">
        <w:rPr>
          <w:b/>
        </w:rPr>
        <w:t>.</w:t>
      </w:r>
      <w:r>
        <w:rPr>
          <w:b/>
        </w:rPr>
        <w:t xml:space="preserve"> </w:t>
      </w:r>
      <w:r>
        <w:rPr>
          <w:color w:val="282828"/>
          <w:highlight w:val="white"/>
        </w:rPr>
        <w:t xml:space="preserve">Tables and Figures should be used sparingly and judiciously, with key points from these described appropriately in the text. You *may not* paste tables or heavily texted figures as images into your essays or assignments in order to circumvent word counts. Further, words and dates must be properly spaced and not run together to circumvent word counts. Students attempting to circumvent word counts in these or other ways will be penalised. </w:t>
      </w:r>
    </w:p>
    <w:p w14:paraId="7BAF9AD0" w14:textId="77777777" w:rsidR="008C015F" w:rsidRDefault="008C015F">
      <w:pPr>
        <w:tabs>
          <w:tab w:val="left" w:pos="3840"/>
        </w:tabs>
        <w:ind w:right="-47"/>
        <w:jc w:val="both"/>
        <w:rPr>
          <w:b/>
        </w:rPr>
      </w:pPr>
    </w:p>
    <w:p w14:paraId="1AD328C8" w14:textId="77777777" w:rsidR="008C015F" w:rsidRDefault="0064568F">
      <w:pPr>
        <w:rPr>
          <w:color w:val="212121"/>
          <w:u w:val="single"/>
        </w:rPr>
      </w:pPr>
      <w:r>
        <w:rPr>
          <w:color w:val="212121"/>
          <w:u w:val="single"/>
        </w:rPr>
        <w:t>Late Submission of Coursework</w:t>
      </w:r>
    </w:p>
    <w:p w14:paraId="31D04704" w14:textId="77777777" w:rsidR="008C015F" w:rsidRDefault="0064568F">
      <w:pPr>
        <w:spacing w:after="120"/>
      </w:pPr>
      <w:r>
        <w:t>Students need to note that the College has a stringent policy on late submissions. Please therefore make sure that you leave plenty of time to submit your work, bearing in mind that uploading your work may take a little time, particularly at busy periods.  Submissions will close EXACTLY at the specified time on the deadline date.</w:t>
      </w:r>
    </w:p>
    <w:p w14:paraId="1E412D70" w14:textId="77777777" w:rsidR="008C015F" w:rsidRDefault="008C015F">
      <w:pPr>
        <w:tabs>
          <w:tab w:val="left" w:pos="3840"/>
        </w:tabs>
        <w:jc w:val="both"/>
      </w:pPr>
    </w:p>
    <w:p w14:paraId="4578D204" w14:textId="18A96076" w:rsidR="008C015F" w:rsidRDefault="0064568F">
      <w:pPr>
        <w:tabs>
          <w:tab w:val="left" w:pos="3840"/>
        </w:tabs>
        <w:jc w:val="both"/>
      </w:pPr>
      <w:r>
        <w:t xml:space="preserve">For all </w:t>
      </w:r>
      <w:r>
        <w:rPr>
          <w:b/>
        </w:rPr>
        <w:t xml:space="preserve">first attempts </w:t>
      </w:r>
      <w:r>
        <w:t>at a given piece of coursework, the following applies. If coursework is submitted late, but within 24 hours of the due time and date, it will be marked, but the mark for this piece of work will be CAPPED AT 40%</w:t>
      </w:r>
      <w:r w:rsidR="0028556C">
        <w:t>.</w:t>
      </w:r>
      <w:r>
        <w:t>If work is submitted more than 24 hours late, you will be given ZERO for that piece of work. In either case, unless an extension is formally granted and approved by the Chair of the Assessment Sub-Board (please see below for more information on mitigating circumstances), the penalty mark will be assigned. It will replace any mark indicated by the examiners as part of their evaluative comments.</w:t>
      </w:r>
    </w:p>
    <w:p w14:paraId="471DC35C" w14:textId="77777777" w:rsidR="008C015F" w:rsidRDefault="008C015F">
      <w:pPr>
        <w:tabs>
          <w:tab w:val="left" w:pos="3840"/>
        </w:tabs>
        <w:jc w:val="both"/>
      </w:pPr>
    </w:p>
    <w:p w14:paraId="5BDC8D71" w14:textId="51A6AAB1" w:rsidR="008C015F" w:rsidRDefault="0064568F">
      <w:pPr>
        <w:tabs>
          <w:tab w:val="left" w:pos="3840"/>
        </w:tabs>
        <w:jc w:val="both"/>
      </w:pPr>
      <w:r>
        <w:t xml:space="preserve">For all </w:t>
      </w:r>
      <w:r>
        <w:rPr>
          <w:b/>
        </w:rPr>
        <w:t xml:space="preserve">second attempts </w:t>
      </w:r>
      <w:r>
        <w:t>at a given piece of coursework, the submission deadline is absolute. This means that you cannot submit your work within 24 hours of the due time and date or later than that. Your work will be marked, but the mark for the module (not the piece of work) will be CAPPED AT 40%.</w:t>
      </w:r>
    </w:p>
    <w:p w14:paraId="372B0CE8" w14:textId="77777777" w:rsidR="008C015F" w:rsidRDefault="008C015F">
      <w:pPr>
        <w:tabs>
          <w:tab w:val="left" w:pos="3840"/>
        </w:tabs>
        <w:jc w:val="both"/>
      </w:pPr>
    </w:p>
    <w:p w14:paraId="099AE67E" w14:textId="77777777" w:rsidR="008C015F" w:rsidRDefault="0064568F">
      <w:pPr>
        <w:tabs>
          <w:tab w:val="left" w:pos="3840"/>
        </w:tabs>
        <w:jc w:val="both"/>
        <w:rPr>
          <w:u w:val="single"/>
        </w:rPr>
      </w:pPr>
      <w:r>
        <w:rPr>
          <w:u w:val="single"/>
        </w:rPr>
        <w:t>Marking criteria</w:t>
      </w:r>
    </w:p>
    <w:p w14:paraId="16892AD2" w14:textId="3833B076" w:rsidR="008C015F" w:rsidRDefault="0064568F">
      <w:pPr>
        <w:tabs>
          <w:tab w:val="left" w:pos="3840"/>
        </w:tabs>
        <w:jc w:val="both"/>
      </w:pPr>
      <w:r>
        <w:t xml:space="preserve">The written coursework will be marked based on the Department’s discipline-specific marking criteria for undergraduate taught programmes These criteria are available in your Programme Handbook. </w:t>
      </w:r>
    </w:p>
    <w:p w14:paraId="273C72DD" w14:textId="77777777" w:rsidR="008C015F" w:rsidRDefault="008C015F">
      <w:pPr>
        <w:tabs>
          <w:tab w:val="left" w:pos="3840"/>
        </w:tabs>
        <w:jc w:val="both"/>
      </w:pPr>
    </w:p>
    <w:p w14:paraId="550F4114" w14:textId="77777777" w:rsidR="008C015F" w:rsidRDefault="0064568F">
      <w:pPr>
        <w:tabs>
          <w:tab w:val="left" w:pos="3840"/>
        </w:tabs>
        <w:jc w:val="both"/>
        <w:rPr>
          <w:u w:val="single"/>
        </w:rPr>
      </w:pPr>
      <w:r>
        <w:rPr>
          <w:u w:val="single"/>
        </w:rPr>
        <w:t>Marking procedure</w:t>
      </w:r>
    </w:p>
    <w:p w14:paraId="45409054" w14:textId="57E5A1C4" w:rsidR="008C015F" w:rsidRDefault="0064568F">
      <w:pPr>
        <w:tabs>
          <w:tab w:val="left" w:pos="3840"/>
        </w:tabs>
        <w:jc w:val="both"/>
      </w:pPr>
      <w:r w:rsidRPr="00097932">
        <w:t>The pass mark for all modules is 40%</w:t>
      </w:r>
      <w:r w:rsidR="00212A87" w:rsidRPr="00097932">
        <w:t xml:space="preserve"> </w:t>
      </w:r>
      <w:r w:rsidRPr="00097932">
        <w:t>and each assessment is marked on a scale from 1–100 according to the criteria described above.</w:t>
      </w:r>
      <w:r>
        <w:t xml:space="preserve"> The Department uses </w:t>
      </w:r>
      <w:r>
        <w:lastRenderedPageBreak/>
        <w:t xml:space="preserve">Marking Model 3: Double Marking by Retrospective Sampling for most assessments. This means that an internal examiner marks all written assessments. A sample of written assessments, including all assessments marked at 0-39 / 0-49, is then marked by a second internal examiner. We also use Marking Model 5: Single Marking for marking assessments that count 15% or less towards the overall module mark, such as presentations, posters and other small pieces of summative assessment, as well as for all formative assessments. All marks are subject to inspection and moderation by an external examiner (external to the College), to ensure the maintenance of proper standards and to adjudicate on borderline cases. For more information on both marking models, please consult the </w:t>
      </w:r>
      <w:hyperlink r:id="rId14">
        <w:r>
          <w:rPr>
            <w:color w:val="1155CC"/>
            <w:u w:val="single"/>
          </w:rPr>
          <w:t>College Marking Framework</w:t>
        </w:r>
      </w:hyperlink>
      <w:r>
        <w:t xml:space="preserve"> that is available on </w:t>
      </w:r>
      <w:hyperlink r:id="rId15">
        <w:r>
          <w:rPr>
            <w:color w:val="1155CC"/>
            <w:u w:val="single"/>
          </w:rPr>
          <w:t>King’s Governance Zone</w:t>
        </w:r>
      </w:hyperlink>
      <w:r>
        <w:rPr>
          <w:rFonts w:ascii="Arial" w:eastAsia="Arial" w:hAnsi="Arial" w:cs="Arial"/>
          <w:highlight w:val="white"/>
        </w:rPr>
        <w:t xml:space="preserve">. </w:t>
      </w:r>
    </w:p>
    <w:p w14:paraId="58EDCE37" w14:textId="77777777" w:rsidR="008C015F" w:rsidRDefault="008C015F">
      <w:pPr>
        <w:tabs>
          <w:tab w:val="left" w:pos="3840"/>
        </w:tabs>
        <w:jc w:val="both"/>
      </w:pPr>
    </w:p>
    <w:p w14:paraId="360CFCCE" w14:textId="77777777" w:rsidR="008C015F" w:rsidRDefault="0064568F">
      <w:pPr>
        <w:tabs>
          <w:tab w:val="left" w:pos="3840"/>
        </w:tabs>
        <w:jc w:val="both"/>
      </w:pPr>
      <w:r>
        <w:rPr>
          <w:u w:val="single"/>
        </w:rPr>
        <w:t>Mitigating circumstances</w:t>
      </w:r>
    </w:p>
    <w:p w14:paraId="2B4B4919" w14:textId="77777777" w:rsidR="008C015F" w:rsidRDefault="0064568F">
      <w:pPr>
        <w:tabs>
          <w:tab w:val="left" w:pos="3840"/>
        </w:tabs>
        <w:jc w:val="both"/>
      </w:pPr>
      <w:r>
        <w:t xml:space="preserve">Please consult the following College websites for </w:t>
      </w:r>
      <w:hyperlink r:id="rId16">
        <w:r>
          <w:rPr>
            <w:color w:val="1155CC"/>
            <w:u w:val="single"/>
          </w:rPr>
          <w:t>information on mitigating circumstances</w:t>
        </w:r>
      </w:hyperlink>
      <w:r>
        <w:t xml:space="preserve">, </w:t>
      </w:r>
      <w:hyperlink r:id="rId17">
        <w:r>
          <w:rPr>
            <w:color w:val="1155CC"/>
            <w:u w:val="single"/>
          </w:rPr>
          <w:t>guidance notes for students</w:t>
        </w:r>
      </w:hyperlink>
      <w:r>
        <w:t xml:space="preserve"> and </w:t>
      </w:r>
      <w:hyperlink r:id="rId18">
        <w:r>
          <w:rPr>
            <w:color w:val="1155CC"/>
            <w:u w:val="single"/>
          </w:rPr>
          <w:t>mitigating circumstances forms</w:t>
        </w:r>
      </w:hyperlink>
      <w:r>
        <w:t xml:space="preserve">. </w:t>
      </w:r>
      <w:hyperlink r:id="rId19"/>
    </w:p>
    <w:p w14:paraId="02400AE5" w14:textId="77777777" w:rsidR="008C015F" w:rsidRDefault="008C015F">
      <w:pPr>
        <w:tabs>
          <w:tab w:val="left" w:pos="3840"/>
        </w:tabs>
        <w:jc w:val="both"/>
      </w:pPr>
    </w:p>
    <w:p w14:paraId="6DEE9941" w14:textId="77777777" w:rsidR="008C015F" w:rsidRDefault="0064568F">
      <w:pPr>
        <w:tabs>
          <w:tab w:val="left" w:pos="3840"/>
        </w:tabs>
        <w:jc w:val="both"/>
      </w:pPr>
      <w:r>
        <w:t>It is a requirement of King's College London that all students take or submit their assessments at times prescribed by King's. However, it is acknowledged that exceptionally, through illness or other good cause, a student may be unable to meet these requirements. In such instances academic regulations allow students to submit details of their mitigating circumstances for consideration by Assessment Sub-Boards. We recognise that it can be difficult to disclose sensitive personal information to other parties. As such, please note that all documentation provided in support of a Mitigating Circumstances Form (MCF) will remain confidential to the relevant Assessment Sub-Board.</w:t>
      </w:r>
    </w:p>
    <w:p w14:paraId="757A36F1" w14:textId="77777777" w:rsidR="008C015F" w:rsidRDefault="0064568F">
      <w:pPr>
        <w:tabs>
          <w:tab w:val="left" w:pos="3840"/>
        </w:tabs>
        <w:jc w:val="both"/>
      </w:pPr>
      <w:r>
        <w:t> </w:t>
      </w:r>
    </w:p>
    <w:p w14:paraId="6C9AB4B5" w14:textId="77777777" w:rsidR="008C015F" w:rsidRDefault="0064568F">
      <w:pPr>
        <w:tabs>
          <w:tab w:val="left" w:pos="3840"/>
        </w:tabs>
        <w:jc w:val="both"/>
      </w:pPr>
      <w:r>
        <w:t>The Boards will use the information submitted to determine whether the mitigating circumstances provided by the student are an acceptable reason for missing an assessment or failing to sit an examination for example. If students believe that they have mitigating circumstances they should discuss this with their tutors. They should carefully read the guidance notes and the Frequently Asked Questions, and then follow the instructions for completing and submitting the Mitigating Circumstances Form (MCF). Please note that evidence will be required in support of any request for mitigating circumstances to be considered and students should not make any assumption that extensions or examination absences will be granted.</w:t>
      </w:r>
    </w:p>
    <w:p w14:paraId="06137905" w14:textId="77777777" w:rsidR="008C015F" w:rsidRDefault="008C015F">
      <w:pPr>
        <w:tabs>
          <w:tab w:val="left" w:pos="3840"/>
        </w:tabs>
        <w:jc w:val="both"/>
      </w:pPr>
    </w:p>
    <w:p w14:paraId="341672A2" w14:textId="77777777" w:rsidR="008C015F" w:rsidRDefault="0064568F">
      <w:pPr>
        <w:tabs>
          <w:tab w:val="left" w:pos="3840"/>
        </w:tabs>
        <w:jc w:val="both"/>
        <w:rPr>
          <w:highlight w:val="yellow"/>
        </w:rPr>
      </w:pPr>
      <w:r>
        <w:t xml:space="preserve">The College’s </w:t>
      </w:r>
      <w:hyperlink r:id="rId20">
        <w:r>
          <w:rPr>
            <w:color w:val="1155CC"/>
            <w:u w:val="single"/>
          </w:rPr>
          <w:t>guidance notes on mitigating circumstances</w:t>
        </w:r>
      </w:hyperlink>
      <w:r>
        <w:t xml:space="preserve"> includes information about the kinds of circumstances that would normally be considered acceptable to support a Mitigating Circumstances Form (MCF). This list of required evidence is provided as a guide and is not exhaustive; each MCF will be assessed on its own merits taking into account the specific circumstances and the evidence presented in each case.</w:t>
      </w:r>
    </w:p>
    <w:p w14:paraId="5C388512" w14:textId="77777777" w:rsidR="008C015F" w:rsidRDefault="008C015F">
      <w:pPr>
        <w:spacing w:before="0" w:after="0"/>
      </w:pPr>
    </w:p>
    <w:p w14:paraId="7F55E3AB" w14:textId="77777777" w:rsidR="008C015F" w:rsidRDefault="008C015F">
      <w:pPr>
        <w:spacing w:before="0" w:after="0"/>
      </w:pPr>
    </w:p>
    <w:p w14:paraId="733DBABF" w14:textId="77777777" w:rsidR="00357306" w:rsidRDefault="00357306">
      <w:pPr>
        <w:pStyle w:val="Heading2"/>
        <w:spacing w:before="0" w:after="0"/>
        <w:jc w:val="center"/>
      </w:pPr>
    </w:p>
    <w:p w14:paraId="7429B9FF" w14:textId="5A862C91" w:rsidR="008C015F" w:rsidRDefault="0064568F" w:rsidP="00493A2D">
      <w:pPr>
        <w:pStyle w:val="Heading2"/>
        <w:spacing w:before="0" w:after="0"/>
        <w:jc w:val="center"/>
      </w:pPr>
      <w:r>
        <w:t>Module Outline and Readings</w:t>
      </w:r>
    </w:p>
    <w:p w14:paraId="50D9A740" w14:textId="77777777" w:rsidR="008C015F" w:rsidRDefault="008C015F">
      <w:pPr>
        <w:spacing w:before="0" w:after="0"/>
        <w:rPr>
          <w:b/>
          <w:u w:val="single"/>
        </w:rPr>
      </w:pPr>
    </w:p>
    <w:p w14:paraId="48F21B6A" w14:textId="77777777" w:rsidR="008C015F" w:rsidRDefault="008C015F">
      <w:pPr>
        <w:spacing w:before="0" w:after="0"/>
        <w:rPr>
          <w:b/>
          <w:u w:val="single"/>
        </w:rPr>
      </w:pPr>
    </w:p>
    <w:p w14:paraId="0B129132" w14:textId="0013BD69" w:rsidR="008C015F" w:rsidRDefault="0064568F">
      <w:pPr>
        <w:spacing w:before="0" w:after="0"/>
        <w:rPr>
          <w:b/>
          <w:u w:val="single"/>
        </w:rPr>
      </w:pPr>
      <w:r>
        <w:rPr>
          <w:b/>
          <w:u w:val="single"/>
        </w:rPr>
        <w:t xml:space="preserve">Week </w:t>
      </w:r>
      <w:r w:rsidR="00B2322C">
        <w:rPr>
          <w:b/>
          <w:u w:val="single"/>
        </w:rPr>
        <w:t>1</w:t>
      </w:r>
      <w:r>
        <w:rPr>
          <w:b/>
          <w:u w:val="single"/>
        </w:rPr>
        <w:t xml:space="preserve"> (</w:t>
      </w:r>
      <w:r w:rsidR="00124B37">
        <w:rPr>
          <w:b/>
          <w:u w:val="single"/>
        </w:rPr>
        <w:t>October 2</w:t>
      </w:r>
      <w:r>
        <w:rPr>
          <w:b/>
          <w:u w:val="single"/>
        </w:rPr>
        <w:t xml:space="preserve">) – </w:t>
      </w:r>
      <w:r w:rsidR="00B2322C">
        <w:rPr>
          <w:b/>
          <w:u w:val="single"/>
        </w:rPr>
        <w:t>Introduction to Drugs</w:t>
      </w:r>
    </w:p>
    <w:p w14:paraId="6258DCEA" w14:textId="77777777" w:rsidR="008C015F" w:rsidRDefault="008C015F">
      <w:pPr>
        <w:spacing w:before="0" w:after="0"/>
        <w:rPr>
          <w:b/>
        </w:rPr>
      </w:pPr>
    </w:p>
    <w:p w14:paraId="1202EC28" w14:textId="21EBDCD1" w:rsidR="008C015F" w:rsidRDefault="00B2322C">
      <w:pPr>
        <w:spacing w:before="0" w:after="0"/>
      </w:pPr>
      <w:r>
        <w:t>Introduces key concepts and approaches in the cultural analysis of contemporary drugs</w:t>
      </w:r>
      <w:r w:rsidR="009E04ED">
        <w:t>.</w:t>
      </w:r>
    </w:p>
    <w:p w14:paraId="738A6CF1" w14:textId="77777777" w:rsidR="00B2322C" w:rsidRDefault="00B2322C">
      <w:pPr>
        <w:spacing w:before="0" w:after="0"/>
      </w:pPr>
    </w:p>
    <w:p w14:paraId="152A8024" w14:textId="77777777" w:rsidR="008C015F" w:rsidRDefault="0064568F">
      <w:pPr>
        <w:spacing w:before="0" w:after="0"/>
      </w:pPr>
      <w:r>
        <w:t>Learning objectives</w:t>
      </w:r>
    </w:p>
    <w:p w14:paraId="1A82B51B" w14:textId="3AEAF472" w:rsidR="008C015F" w:rsidRDefault="00886A26">
      <w:pPr>
        <w:numPr>
          <w:ilvl w:val="0"/>
          <w:numId w:val="2"/>
        </w:numPr>
        <w:spacing w:before="0" w:after="0"/>
      </w:pPr>
      <w:r>
        <w:t xml:space="preserve">introduce </w:t>
      </w:r>
      <w:r w:rsidR="00B2322C">
        <w:t>different paradigms of what drugs are for</w:t>
      </w:r>
    </w:p>
    <w:p w14:paraId="47BCC2B5" w14:textId="7F491FA7" w:rsidR="008C015F" w:rsidRDefault="00886A26">
      <w:pPr>
        <w:numPr>
          <w:ilvl w:val="0"/>
          <w:numId w:val="2"/>
        </w:numPr>
        <w:spacing w:before="0" w:after="0"/>
      </w:pPr>
      <w:r>
        <w:t>situate licit and illicit drugs in consumer culture</w:t>
      </w:r>
    </w:p>
    <w:p w14:paraId="2F8683A1" w14:textId="77777777" w:rsidR="008C015F" w:rsidRDefault="008C015F">
      <w:pPr>
        <w:spacing w:before="0" w:after="0"/>
        <w:ind w:left="284" w:hanging="284"/>
      </w:pPr>
    </w:p>
    <w:p w14:paraId="56748437" w14:textId="77777777" w:rsidR="008C015F" w:rsidRDefault="0064568F">
      <w:pPr>
        <w:spacing w:before="0" w:after="0"/>
        <w:rPr>
          <w:b/>
        </w:rPr>
      </w:pPr>
      <w:r>
        <w:rPr>
          <w:b/>
        </w:rPr>
        <w:t>Core Reading</w:t>
      </w:r>
    </w:p>
    <w:p w14:paraId="4F010BD2" w14:textId="012A6C5D" w:rsidR="008C015F" w:rsidRDefault="008C015F">
      <w:pPr>
        <w:widowControl w:val="0"/>
        <w:spacing w:before="0" w:after="0"/>
      </w:pPr>
    </w:p>
    <w:p w14:paraId="43F247DF" w14:textId="11C443DD" w:rsidR="009F2A23" w:rsidRDefault="00B2322C" w:rsidP="00B2322C">
      <w:pPr>
        <w:rPr>
          <w:rFonts w:cstheme="minorHAnsi"/>
          <w:lang w:val="en-US"/>
        </w:rPr>
      </w:pPr>
      <w:r w:rsidRPr="00FB0F4E">
        <w:rPr>
          <w:rFonts w:cstheme="minorHAnsi"/>
        </w:rPr>
        <w:t>Joseph Dumit, “Drugs for Life</w:t>
      </w:r>
      <w:r>
        <w:rPr>
          <w:rFonts w:cstheme="minorHAnsi"/>
        </w:rPr>
        <w:t>,</w:t>
      </w:r>
      <w:r w:rsidRPr="00FB0F4E">
        <w:rPr>
          <w:rFonts w:cstheme="minorHAnsi"/>
        </w:rPr>
        <w:t>”</w:t>
      </w:r>
      <w:r>
        <w:rPr>
          <w:rFonts w:cstheme="minorHAnsi"/>
        </w:rPr>
        <w:t xml:space="preserve"> </w:t>
      </w:r>
      <w:r w:rsidRPr="00FB0F4E">
        <w:rPr>
          <w:rFonts w:cstheme="minorHAnsi"/>
          <w:i/>
          <w:iCs/>
          <w:lang w:val="en-US"/>
        </w:rPr>
        <w:t xml:space="preserve">Molecular Interventions </w:t>
      </w:r>
      <w:r w:rsidRPr="00FB0F4E">
        <w:rPr>
          <w:rFonts w:cstheme="minorHAnsi"/>
          <w:lang w:val="en-US"/>
        </w:rPr>
        <w:t>2.3 (June 2002): 124-127.</w:t>
      </w:r>
    </w:p>
    <w:p w14:paraId="316C4097" w14:textId="77777777" w:rsidR="00493A2D" w:rsidRDefault="00493A2D" w:rsidP="00B2322C">
      <w:pPr>
        <w:rPr>
          <w:rFonts w:cstheme="minorHAnsi"/>
          <w:lang w:val="en-US"/>
        </w:rPr>
      </w:pPr>
    </w:p>
    <w:p w14:paraId="538BD346" w14:textId="54176BAF" w:rsidR="00B2322C" w:rsidRDefault="00B2322C" w:rsidP="00B2322C">
      <w:pPr>
        <w:widowControl w:val="0"/>
        <w:spacing w:before="0" w:after="0"/>
        <w:rPr>
          <w:rFonts w:cstheme="minorHAnsi"/>
        </w:rPr>
      </w:pPr>
      <w:r>
        <w:rPr>
          <w:rFonts w:cstheme="minorHAnsi"/>
        </w:rPr>
        <w:t xml:space="preserve">Kane Race, “Recreational States: Drugs and the Sovereignty of Consumption,” </w:t>
      </w:r>
      <w:r>
        <w:rPr>
          <w:rFonts w:cstheme="minorHAnsi"/>
          <w:i/>
        </w:rPr>
        <w:t xml:space="preserve">Culture Machine </w:t>
      </w:r>
      <w:r>
        <w:rPr>
          <w:rFonts w:cstheme="minorHAnsi"/>
        </w:rPr>
        <w:t xml:space="preserve">Vol 7 (2005): </w:t>
      </w:r>
      <w:r w:rsidR="0038460A" w:rsidRPr="0038460A">
        <w:rPr>
          <w:rFonts w:cstheme="minorHAnsi"/>
        </w:rPr>
        <w:t>https://culturemachine.net/biopolitics/recreational-states/</w:t>
      </w:r>
    </w:p>
    <w:p w14:paraId="1082F278" w14:textId="77777777" w:rsidR="009F2A23" w:rsidRDefault="009F2A23" w:rsidP="00B2322C">
      <w:pPr>
        <w:widowControl w:val="0"/>
        <w:spacing w:before="0" w:after="0"/>
      </w:pPr>
    </w:p>
    <w:p w14:paraId="53E3C227" w14:textId="709E7770" w:rsidR="00A74473" w:rsidRDefault="005E6522" w:rsidP="005E6522">
      <w:pPr>
        <w:widowControl w:val="0"/>
        <w:spacing w:before="0" w:after="0"/>
        <w:rPr>
          <w:b/>
          <w:bCs/>
        </w:rPr>
      </w:pPr>
      <w:r w:rsidRPr="005E6522">
        <w:rPr>
          <w:b/>
          <w:bCs/>
        </w:rPr>
        <w:t>Recommended</w:t>
      </w:r>
      <w:r w:rsidR="00A74473">
        <w:rPr>
          <w:b/>
          <w:bCs/>
        </w:rPr>
        <w:t xml:space="preserve"> Reading</w:t>
      </w:r>
      <w:r>
        <w:rPr>
          <w:b/>
          <w:bCs/>
        </w:rPr>
        <w:t xml:space="preserve">: </w:t>
      </w:r>
    </w:p>
    <w:p w14:paraId="7CE33145" w14:textId="77777777" w:rsidR="00A74473" w:rsidRDefault="00A74473" w:rsidP="005E6522">
      <w:pPr>
        <w:widowControl w:val="0"/>
        <w:spacing w:before="0" w:after="0"/>
        <w:rPr>
          <w:b/>
          <w:bCs/>
        </w:rPr>
      </w:pPr>
    </w:p>
    <w:p w14:paraId="662D37C8" w14:textId="69103DAB" w:rsidR="005E6522" w:rsidRPr="005E6522" w:rsidRDefault="00A74473" w:rsidP="005E6522">
      <w:pPr>
        <w:widowControl w:val="0"/>
        <w:spacing w:before="0" w:after="0"/>
        <w:rPr>
          <w:b/>
          <w:bCs/>
        </w:rPr>
      </w:pPr>
      <w:r>
        <w:rPr>
          <w:b/>
          <w:bCs/>
        </w:rPr>
        <w:t xml:space="preserve">Recommended reading: </w:t>
      </w:r>
      <w:r w:rsidR="005E6522" w:rsidRPr="005E6522">
        <w:rPr>
          <w:lang w:val="en-US"/>
        </w:rPr>
        <w:t xml:space="preserve">Anne Pollock, “Enbrel and the Autoimmune Era,” </w:t>
      </w:r>
      <w:r w:rsidR="005E6522" w:rsidRPr="005E6522">
        <w:rPr>
          <w:i/>
          <w:iCs/>
          <w:lang w:val="en-US"/>
        </w:rPr>
        <w:t xml:space="preserve">The Atlantic </w:t>
      </w:r>
      <w:r w:rsidR="005E6522" w:rsidRPr="005E6522">
        <w:rPr>
          <w:lang w:val="en-US"/>
        </w:rPr>
        <w:t xml:space="preserve">June 18, 2013. </w:t>
      </w:r>
      <w:r w:rsidR="005E6522">
        <w:rPr>
          <w:lang w:val="en-US"/>
        </w:rPr>
        <w:t>h</w:t>
      </w:r>
      <w:r w:rsidR="005E6522" w:rsidRPr="005E6522">
        <w:rPr>
          <w:lang w:val="en-US"/>
        </w:rPr>
        <w:t xml:space="preserve">ttps://www.theatlantic.com/technology/archive/2013/06/enbrel-and-the-autoimmune-era/276911/ </w:t>
      </w:r>
    </w:p>
    <w:p w14:paraId="579470F9" w14:textId="74BEDF17" w:rsidR="005E6522" w:rsidRDefault="005E6522">
      <w:pPr>
        <w:widowControl w:val="0"/>
        <w:spacing w:before="0" w:after="0"/>
      </w:pPr>
    </w:p>
    <w:p w14:paraId="59815F01" w14:textId="77777777" w:rsidR="005E6522" w:rsidRDefault="005E6522">
      <w:pPr>
        <w:widowControl w:val="0"/>
        <w:spacing w:before="0" w:after="0"/>
      </w:pPr>
    </w:p>
    <w:p w14:paraId="1F335304" w14:textId="77777777" w:rsidR="008C015F" w:rsidRDefault="008C015F">
      <w:pPr>
        <w:widowControl w:val="0"/>
        <w:spacing w:before="0" w:after="0"/>
      </w:pPr>
    </w:p>
    <w:p w14:paraId="1D7809AC" w14:textId="61D7D1CD" w:rsidR="00B2322C" w:rsidRDefault="00B2322C" w:rsidP="00B2322C">
      <w:pPr>
        <w:spacing w:before="0" w:after="0"/>
        <w:rPr>
          <w:b/>
          <w:u w:val="single"/>
        </w:rPr>
      </w:pPr>
      <w:r>
        <w:rPr>
          <w:b/>
          <w:u w:val="single"/>
        </w:rPr>
        <w:t xml:space="preserve">Week </w:t>
      </w:r>
      <w:r w:rsidR="00886A26">
        <w:rPr>
          <w:b/>
          <w:u w:val="single"/>
        </w:rPr>
        <w:t>2</w:t>
      </w:r>
      <w:r>
        <w:rPr>
          <w:b/>
          <w:u w:val="single"/>
        </w:rPr>
        <w:t xml:space="preserve"> (</w:t>
      </w:r>
      <w:r w:rsidR="00886A26">
        <w:rPr>
          <w:b/>
          <w:u w:val="single"/>
        </w:rPr>
        <w:t>Oct</w:t>
      </w:r>
      <w:r w:rsidR="00124B37">
        <w:rPr>
          <w:b/>
          <w:u w:val="single"/>
        </w:rPr>
        <w:t>ober</w:t>
      </w:r>
      <w:r w:rsidR="00886A26">
        <w:rPr>
          <w:b/>
          <w:u w:val="single"/>
        </w:rPr>
        <w:t xml:space="preserve"> </w:t>
      </w:r>
      <w:r w:rsidR="00124B37">
        <w:rPr>
          <w:b/>
          <w:u w:val="single"/>
        </w:rPr>
        <w:t>9</w:t>
      </w:r>
      <w:r>
        <w:rPr>
          <w:b/>
          <w:u w:val="single"/>
        </w:rPr>
        <w:t xml:space="preserve">) – </w:t>
      </w:r>
      <w:r w:rsidR="00886A26">
        <w:rPr>
          <w:b/>
          <w:u w:val="single"/>
        </w:rPr>
        <w:t>Anthropology of pharmaceuticals</w:t>
      </w:r>
    </w:p>
    <w:p w14:paraId="29AC2D86" w14:textId="1D1B437B" w:rsidR="00B2322C" w:rsidRDefault="00B2322C" w:rsidP="00B2322C">
      <w:pPr>
        <w:spacing w:before="0" w:after="0"/>
        <w:rPr>
          <w:b/>
        </w:rPr>
      </w:pPr>
    </w:p>
    <w:p w14:paraId="39F87A6F" w14:textId="1BFC8BCF" w:rsidR="00212A87" w:rsidRDefault="00212A87" w:rsidP="00B2322C">
      <w:pPr>
        <w:spacing w:before="0" w:after="0"/>
      </w:pPr>
      <w:r>
        <w:t>Introduces anthropological approaches to analyzing pharmaceuticals.</w:t>
      </w:r>
    </w:p>
    <w:p w14:paraId="4D5B3084" w14:textId="77777777" w:rsidR="00B2322C" w:rsidRDefault="00B2322C" w:rsidP="00B2322C">
      <w:pPr>
        <w:spacing w:before="0" w:after="0"/>
      </w:pPr>
    </w:p>
    <w:p w14:paraId="3E6112B1" w14:textId="77777777" w:rsidR="00B2322C" w:rsidRDefault="00B2322C" w:rsidP="00B2322C">
      <w:pPr>
        <w:spacing w:before="0" w:after="0"/>
      </w:pPr>
      <w:r>
        <w:t>Learning objectives</w:t>
      </w:r>
    </w:p>
    <w:p w14:paraId="2D16E8DE" w14:textId="1782CDD8" w:rsidR="00B2322C" w:rsidRDefault="00212A87" w:rsidP="00B2322C">
      <w:pPr>
        <w:numPr>
          <w:ilvl w:val="0"/>
          <w:numId w:val="2"/>
        </w:numPr>
        <w:spacing w:before="0" w:after="0"/>
      </w:pPr>
      <w:r>
        <w:t xml:space="preserve">explore </w:t>
      </w:r>
      <w:r w:rsidR="00886A26">
        <w:t xml:space="preserve">approaches </w:t>
      </w:r>
      <w:r>
        <w:t xml:space="preserve">anthropologists have taken </w:t>
      </w:r>
      <w:r w:rsidR="00886A26">
        <w:t>to analyzing pharmaceuticals</w:t>
      </w:r>
      <w:r w:rsidR="009E04ED">
        <w:t>, including their personalities and biographies</w:t>
      </w:r>
    </w:p>
    <w:p w14:paraId="39DDEF00" w14:textId="68E4659E" w:rsidR="00B2322C" w:rsidRDefault="00212A87" w:rsidP="00212A87">
      <w:pPr>
        <w:numPr>
          <w:ilvl w:val="0"/>
          <w:numId w:val="2"/>
        </w:numPr>
        <w:spacing w:before="0" w:after="0"/>
      </w:pPr>
      <w:r>
        <w:t xml:space="preserve">be exposed to key conceptual tools, including </w:t>
      </w:r>
      <w:r>
        <w:rPr>
          <w:i/>
        </w:rPr>
        <w:t>pharmakon</w:t>
      </w:r>
    </w:p>
    <w:p w14:paraId="12269ADC" w14:textId="77777777" w:rsidR="00B2322C" w:rsidRDefault="00B2322C" w:rsidP="00B2322C">
      <w:pPr>
        <w:spacing w:before="0" w:after="0"/>
        <w:ind w:left="284" w:hanging="284"/>
      </w:pPr>
    </w:p>
    <w:p w14:paraId="0B1840FC" w14:textId="77777777" w:rsidR="00FD0C9B" w:rsidRDefault="00FD0C9B" w:rsidP="00B2322C">
      <w:pPr>
        <w:spacing w:before="0" w:after="0"/>
        <w:rPr>
          <w:b/>
        </w:rPr>
      </w:pPr>
    </w:p>
    <w:p w14:paraId="5F316550" w14:textId="77777777" w:rsidR="00FD0C9B" w:rsidRDefault="00FD0C9B" w:rsidP="00FD0C9B">
      <w:pPr>
        <w:spacing w:before="0" w:after="0"/>
        <w:rPr>
          <w:b/>
        </w:rPr>
      </w:pPr>
    </w:p>
    <w:p w14:paraId="347D6D24" w14:textId="77777777" w:rsidR="00FD0C9B" w:rsidRDefault="00FD0C9B" w:rsidP="00FD0C9B">
      <w:pPr>
        <w:spacing w:before="0" w:after="0"/>
        <w:rPr>
          <w:b/>
        </w:rPr>
      </w:pPr>
    </w:p>
    <w:p w14:paraId="47E9F033" w14:textId="77777777" w:rsidR="00FD0C9B" w:rsidRDefault="00FD0C9B" w:rsidP="00FD0C9B">
      <w:pPr>
        <w:spacing w:before="0" w:after="0"/>
        <w:rPr>
          <w:b/>
        </w:rPr>
      </w:pPr>
    </w:p>
    <w:p w14:paraId="6932B6EC" w14:textId="4AD0D0E0" w:rsidR="00B2322C" w:rsidRPr="00FD0C9B" w:rsidRDefault="00B2322C" w:rsidP="00FD0C9B">
      <w:pPr>
        <w:spacing w:before="0" w:after="0"/>
        <w:rPr>
          <w:b/>
        </w:rPr>
      </w:pPr>
      <w:r>
        <w:rPr>
          <w:b/>
        </w:rPr>
        <w:lastRenderedPageBreak/>
        <w:t>Core Reading</w:t>
      </w:r>
    </w:p>
    <w:p w14:paraId="734B404E" w14:textId="0651E7F0" w:rsidR="00886A26" w:rsidRDefault="00886A26" w:rsidP="00886A26">
      <w:pPr>
        <w:rPr>
          <w:rFonts w:eastAsia="Times New Roman" w:cstheme="minorHAnsi"/>
        </w:rPr>
      </w:pPr>
      <w:r w:rsidRPr="00FB0F4E">
        <w:rPr>
          <w:rFonts w:cstheme="minorHAnsi"/>
        </w:rPr>
        <w:t xml:space="preserve">Sjaak </w:t>
      </w:r>
      <w:r>
        <w:rPr>
          <w:rFonts w:cstheme="minorHAnsi"/>
        </w:rPr>
        <w:t xml:space="preserve">van der </w:t>
      </w:r>
      <w:r w:rsidRPr="00FB0F4E">
        <w:rPr>
          <w:rFonts w:cstheme="minorHAnsi"/>
        </w:rPr>
        <w:t>Geest</w:t>
      </w:r>
      <w:r>
        <w:rPr>
          <w:rFonts w:cstheme="minorHAnsi"/>
        </w:rPr>
        <w:t>,</w:t>
      </w:r>
      <w:r w:rsidRPr="00FB0F4E">
        <w:rPr>
          <w:rFonts w:cstheme="minorHAnsi"/>
        </w:rPr>
        <w:t xml:space="preserve"> </w:t>
      </w:r>
      <w:r>
        <w:rPr>
          <w:rFonts w:cstheme="minorHAnsi"/>
        </w:rPr>
        <w:t>Susan Reynolds White</w:t>
      </w:r>
      <w:r w:rsidRPr="00FB0F4E">
        <w:rPr>
          <w:rFonts w:cstheme="minorHAnsi"/>
        </w:rPr>
        <w:t>,</w:t>
      </w:r>
      <w:r>
        <w:rPr>
          <w:rFonts w:cstheme="minorHAnsi"/>
        </w:rPr>
        <w:t xml:space="preserve"> and Anita Hardon,</w:t>
      </w:r>
      <w:r w:rsidRPr="00FB0F4E">
        <w:rPr>
          <w:rFonts w:cstheme="minorHAnsi"/>
        </w:rPr>
        <w:t xml:space="preserve"> </w:t>
      </w:r>
      <w:r w:rsidRPr="00FB0F4E">
        <w:rPr>
          <w:rFonts w:eastAsia="Times New Roman" w:cstheme="minorHAnsi"/>
        </w:rPr>
        <w:t>“The Anthropology of Pharmaceuticals</w:t>
      </w:r>
      <w:r>
        <w:rPr>
          <w:rFonts w:eastAsia="Times New Roman" w:cstheme="minorHAnsi"/>
        </w:rPr>
        <w:t>: A Biographical Approach</w:t>
      </w:r>
      <w:r w:rsidRPr="00FB0F4E">
        <w:rPr>
          <w:rFonts w:eastAsia="Times New Roman" w:cstheme="minorHAnsi"/>
        </w:rPr>
        <w:t xml:space="preserve">,” </w:t>
      </w:r>
      <w:r w:rsidRPr="00FB0F4E">
        <w:rPr>
          <w:rFonts w:eastAsia="Times New Roman" w:cstheme="minorHAnsi"/>
          <w:i/>
          <w:iCs/>
        </w:rPr>
        <w:t>Annual Review of Anthropology</w:t>
      </w:r>
      <w:r w:rsidRPr="00FB0F4E">
        <w:rPr>
          <w:rFonts w:eastAsia="Times New Roman" w:cstheme="minorHAnsi"/>
        </w:rPr>
        <w:t>, Vol. 25 (1996): 153-178.</w:t>
      </w:r>
    </w:p>
    <w:p w14:paraId="0F3B887B" w14:textId="77777777" w:rsidR="00DB2EE5" w:rsidRPr="00FB0F4E" w:rsidRDefault="00DB2EE5" w:rsidP="00886A26">
      <w:pPr>
        <w:rPr>
          <w:rFonts w:cstheme="minorHAnsi"/>
        </w:rPr>
      </w:pPr>
    </w:p>
    <w:p w14:paraId="55972468" w14:textId="2CF959C8" w:rsidR="00493A2D" w:rsidRPr="00493A2D" w:rsidRDefault="00493A2D" w:rsidP="00493A2D">
      <w:pPr>
        <w:widowControl w:val="0"/>
        <w:spacing w:before="0" w:after="0"/>
        <w:rPr>
          <w:bCs/>
        </w:rPr>
      </w:pPr>
      <w:r w:rsidRPr="00493A2D">
        <w:rPr>
          <w:bCs/>
        </w:rPr>
        <w:t xml:space="preserve">Asha Persson, “Incorporating Pharmakon: HIV, medicine and body shape change,” </w:t>
      </w:r>
      <w:r w:rsidRPr="00493A2D">
        <w:rPr>
          <w:bCs/>
          <w:i/>
          <w:iCs/>
        </w:rPr>
        <w:t xml:space="preserve">Body and Society </w:t>
      </w:r>
      <w:r w:rsidRPr="00493A2D">
        <w:rPr>
          <w:bCs/>
        </w:rPr>
        <w:t>10(2004): 45-67.</w:t>
      </w:r>
    </w:p>
    <w:p w14:paraId="78EA9384" w14:textId="77777777" w:rsidR="00357306" w:rsidRDefault="00357306" w:rsidP="00B2322C">
      <w:pPr>
        <w:widowControl w:val="0"/>
        <w:spacing w:before="0" w:after="0"/>
        <w:rPr>
          <w:b/>
        </w:rPr>
      </w:pPr>
    </w:p>
    <w:p w14:paraId="59A06336" w14:textId="2232260D" w:rsidR="00B2322C" w:rsidRDefault="00B2322C" w:rsidP="00B2322C">
      <w:pPr>
        <w:widowControl w:val="0"/>
        <w:spacing w:before="0" w:after="0"/>
        <w:rPr>
          <w:b/>
        </w:rPr>
      </w:pPr>
      <w:r>
        <w:rPr>
          <w:b/>
        </w:rPr>
        <w:t>Recommended Reading</w:t>
      </w:r>
    </w:p>
    <w:p w14:paraId="2FEDA6B0" w14:textId="77777777" w:rsidR="00493A2D" w:rsidRDefault="00493A2D" w:rsidP="00493A2D">
      <w:pPr>
        <w:widowControl w:val="0"/>
        <w:spacing w:before="0" w:after="0"/>
      </w:pPr>
      <w:r w:rsidRPr="00F87FF1">
        <w:rPr>
          <w:bCs/>
        </w:rPr>
        <w:t xml:space="preserve">Emily Martin, “The Pharmaceutical Person,” </w:t>
      </w:r>
      <w:r w:rsidRPr="00F87FF1">
        <w:rPr>
          <w:bCs/>
          <w:i/>
        </w:rPr>
        <w:t>BioSocieties</w:t>
      </w:r>
      <w:r w:rsidRPr="00F87FF1">
        <w:rPr>
          <w:bCs/>
        </w:rPr>
        <w:t xml:space="preserve"> 1 (2006): 273-287.</w:t>
      </w:r>
    </w:p>
    <w:p w14:paraId="72693500" w14:textId="4B208B60" w:rsidR="00886A26" w:rsidRPr="00693C1D" w:rsidRDefault="00886A26" w:rsidP="00886A26">
      <w:pPr>
        <w:rPr>
          <w:rFonts w:cstheme="minorHAnsi"/>
        </w:rPr>
      </w:pPr>
      <w:r>
        <w:rPr>
          <w:rFonts w:cstheme="minorHAnsi"/>
        </w:rPr>
        <w:t xml:space="preserve">David Healy, “Of Illness, Disease, and Remedies,” in </w:t>
      </w:r>
      <w:r>
        <w:rPr>
          <w:rFonts w:cstheme="minorHAnsi"/>
          <w:i/>
        </w:rPr>
        <w:t>The An</w:t>
      </w:r>
      <w:r w:rsidR="00310343">
        <w:rPr>
          <w:rFonts w:cstheme="minorHAnsi"/>
          <w:i/>
        </w:rPr>
        <w:t>t</w:t>
      </w:r>
      <w:r>
        <w:rPr>
          <w:rFonts w:cstheme="minorHAnsi"/>
          <w:i/>
        </w:rPr>
        <w:t>idepressant Era</w:t>
      </w:r>
      <w:r>
        <w:rPr>
          <w:rFonts w:cstheme="minorHAnsi"/>
        </w:rPr>
        <w:t>, Cambridge, MA: Harvard University Press, 1997, pp. 7-42.</w:t>
      </w:r>
    </w:p>
    <w:p w14:paraId="541B4112" w14:textId="349C2808" w:rsidR="00886A26" w:rsidRDefault="00886A26" w:rsidP="00B2322C">
      <w:pPr>
        <w:widowControl w:val="0"/>
        <w:spacing w:before="0" w:after="0"/>
        <w:rPr>
          <w:b/>
        </w:rPr>
      </w:pPr>
    </w:p>
    <w:p w14:paraId="65B8823C" w14:textId="77777777" w:rsidR="00886A26" w:rsidRDefault="00886A26" w:rsidP="00B2322C">
      <w:pPr>
        <w:widowControl w:val="0"/>
        <w:spacing w:before="0" w:after="0"/>
        <w:rPr>
          <w:b/>
        </w:rPr>
      </w:pPr>
    </w:p>
    <w:p w14:paraId="1D93C474" w14:textId="77777777" w:rsidR="00B2322C" w:rsidRDefault="00B2322C" w:rsidP="00B2322C">
      <w:pPr>
        <w:widowControl w:val="0"/>
        <w:spacing w:before="0" w:after="0"/>
      </w:pPr>
    </w:p>
    <w:p w14:paraId="48E44DBD" w14:textId="0813F4D8" w:rsidR="00B2322C" w:rsidRDefault="00B2322C" w:rsidP="00B2322C">
      <w:pPr>
        <w:spacing w:before="0" w:after="0"/>
        <w:rPr>
          <w:b/>
          <w:u w:val="single"/>
        </w:rPr>
      </w:pPr>
      <w:r>
        <w:rPr>
          <w:b/>
          <w:u w:val="single"/>
        </w:rPr>
        <w:t xml:space="preserve">Week </w:t>
      </w:r>
      <w:r w:rsidR="00886A26">
        <w:rPr>
          <w:b/>
          <w:u w:val="single"/>
        </w:rPr>
        <w:t>3</w:t>
      </w:r>
      <w:r>
        <w:rPr>
          <w:b/>
          <w:u w:val="single"/>
        </w:rPr>
        <w:t xml:space="preserve"> (</w:t>
      </w:r>
      <w:r w:rsidR="00886A26">
        <w:rPr>
          <w:b/>
          <w:u w:val="single"/>
        </w:rPr>
        <w:t>Oct 1</w:t>
      </w:r>
      <w:r w:rsidR="00124B37">
        <w:rPr>
          <w:b/>
          <w:u w:val="single"/>
        </w:rPr>
        <w:t>6</w:t>
      </w:r>
      <w:r>
        <w:rPr>
          <w:b/>
          <w:u w:val="single"/>
        </w:rPr>
        <w:t xml:space="preserve">) – </w:t>
      </w:r>
      <w:r w:rsidR="00886A26">
        <w:rPr>
          <w:b/>
          <w:u w:val="single"/>
        </w:rPr>
        <w:t>Pharmaceuticalization</w:t>
      </w:r>
    </w:p>
    <w:p w14:paraId="79871CF4" w14:textId="77777777" w:rsidR="00B2322C" w:rsidRDefault="00B2322C" w:rsidP="00B2322C">
      <w:pPr>
        <w:spacing w:before="0" w:after="0"/>
        <w:rPr>
          <w:b/>
        </w:rPr>
      </w:pPr>
    </w:p>
    <w:p w14:paraId="4F6EBFEA" w14:textId="12853B20" w:rsidR="00B2322C" w:rsidRDefault="009E04ED" w:rsidP="00B2322C">
      <w:pPr>
        <w:spacing w:before="0" w:after="0"/>
      </w:pPr>
      <w:r>
        <w:t>Introduces the concept of “pharmaceuticalization,” as developed in sociological and anthropological literatures.</w:t>
      </w:r>
    </w:p>
    <w:p w14:paraId="66C556D6" w14:textId="77777777" w:rsidR="00B2322C" w:rsidRDefault="00B2322C" w:rsidP="00B2322C">
      <w:pPr>
        <w:spacing w:before="0" w:after="0"/>
      </w:pPr>
    </w:p>
    <w:p w14:paraId="3BA13FFC" w14:textId="77777777" w:rsidR="00B2322C" w:rsidRDefault="00B2322C" w:rsidP="00B2322C">
      <w:pPr>
        <w:spacing w:before="0" w:after="0"/>
      </w:pPr>
      <w:r>
        <w:t>Learning objectives</w:t>
      </w:r>
    </w:p>
    <w:p w14:paraId="77DCE0D4" w14:textId="7958F3BF" w:rsidR="009E04ED" w:rsidRDefault="009E04ED" w:rsidP="00B2322C">
      <w:pPr>
        <w:numPr>
          <w:ilvl w:val="0"/>
          <w:numId w:val="2"/>
        </w:numPr>
        <w:spacing w:before="0" w:after="0"/>
      </w:pPr>
      <w:r>
        <w:t>be exposed to continuities and discontinuities of “medicalization” and “pharmaceuticalization”</w:t>
      </w:r>
    </w:p>
    <w:p w14:paraId="04C02024" w14:textId="32A73009" w:rsidR="00B2322C" w:rsidRDefault="009E04ED" w:rsidP="009E04ED">
      <w:pPr>
        <w:numPr>
          <w:ilvl w:val="0"/>
          <w:numId w:val="2"/>
        </w:numPr>
        <w:spacing w:before="0" w:after="0"/>
      </w:pPr>
      <w:r>
        <w:t>explore how “pharmaceuticalization” is engaged in Global North and Global South contexts</w:t>
      </w:r>
    </w:p>
    <w:p w14:paraId="599DBFAC" w14:textId="77777777" w:rsidR="00B2322C" w:rsidRDefault="00B2322C" w:rsidP="00B2322C">
      <w:pPr>
        <w:spacing w:before="0" w:after="0"/>
        <w:ind w:left="284" w:hanging="284"/>
      </w:pPr>
    </w:p>
    <w:p w14:paraId="13CF04FA" w14:textId="77777777" w:rsidR="00B2322C" w:rsidRDefault="00B2322C" w:rsidP="00B2322C">
      <w:pPr>
        <w:spacing w:before="0" w:after="0"/>
        <w:rPr>
          <w:b/>
        </w:rPr>
      </w:pPr>
      <w:r>
        <w:rPr>
          <w:b/>
        </w:rPr>
        <w:t>Core Reading</w:t>
      </w:r>
    </w:p>
    <w:p w14:paraId="07FE95FC" w14:textId="569C02A6" w:rsidR="00B2322C" w:rsidRDefault="00B2322C" w:rsidP="00B2322C">
      <w:pPr>
        <w:widowControl w:val="0"/>
        <w:spacing w:before="0" w:after="0"/>
      </w:pPr>
    </w:p>
    <w:p w14:paraId="3A766791" w14:textId="79EF8330" w:rsidR="00886A26" w:rsidRDefault="00886A26" w:rsidP="00886A26">
      <w:pPr>
        <w:rPr>
          <w:rFonts w:cstheme="minorHAnsi"/>
        </w:rPr>
      </w:pPr>
      <w:r w:rsidRPr="00FB0F4E">
        <w:rPr>
          <w:rFonts w:cstheme="minorHAnsi"/>
        </w:rPr>
        <w:t xml:space="preserve">João Biehl, “Pharmaceuticalization: AIDS Treatment and Global Health Politics,” </w:t>
      </w:r>
      <w:r w:rsidRPr="00FB0F4E">
        <w:rPr>
          <w:rFonts w:cstheme="minorHAnsi"/>
          <w:i/>
        </w:rPr>
        <w:t>Anthropological Quarterly</w:t>
      </w:r>
      <w:r w:rsidRPr="00FB0F4E">
        <w:rPr>
          <w:rFonts w:cstheme="minorHAnsi"/>
        </w:rPr>
        <w:t xml:space="preserve"> 80, no. 4 (2007): 1083–126.</w:t>
      </w:r>
    </w:p>
    <w:p w14:paraId="7488C497" w14:textId="77777777" w:rsidR="00DB2EE5" w:rsidRPr="00FB0F4E" w:rsidRDefault="00DB2EE5" w:rsidP="00886A26">
      <w:pPr>
        <w:rPr>
          <w:rFonts w:cstheme="minorHAnsi"/>
        </w:rPr>
      </w:pPr>
    </w:p>
    <w:p w14:paraId="6B7008E1" w14:textId="77777777" w:rsidR="00886A26" w:rsidRDefault="00886A26" w:rsidP="00886A26">
      <w:pPr>
        <w:rPr>
          <w:rFonts w:cstheme="minorHAnsi"/>
        </w:rPr>
      </w:pPr>
      <w:r w:rsidRPr="00FB0F4E">
        <w:rPr>
          <w:rFonts w:cstheme="minorHAnsi"/>
        </w:rPr>
        <w:t xml:space="preserve">Simon J. Williams, </w:t>
      </w:r>
      <w:r w:rsidRPr="00FB0F4E">
        <w:rPr>
          <w:rFonts w:eastAsia="Calibri" w:cstheme="minorHAnsi"/>
        </w:rPr>
        <w:t xml:space="preserve">Paul Martin, and Jonathan Gabe. “The Pharmaceuticalisation of Society? A Framework for Analysis.” </w:t>
      </w:r>
      <w:r w:rsidRPr="00FB0F4E">
        <w:rPr>
          <w:rFonts w:eastAsia="Calibri" w:cstheme="minorHAnsi"/>
          <w:i/>
        </w:rPr>
        <w:t>Sociology of Health &amp; Illness</w:t>
      </w:r>
      <w:r w:rsidRPr="00FB0F4E">
        <w:rPr>
          <w:rFonts w:eastAsia="Calibri" w:cstheme="minorHAnsi"/>
        </w:rPr>
        <w:t xml:space="preserve"> 33, no. 5 (2011): 710–725</w:t>
      </w:r>
      <w:r w:rsidRPr="00FB0F4E">
        <w:rPr>
          <w:rFonts w:cstheme="minorHAnsi"/>
        </w:rPr>
        <w:t>.</w:t>
      </w:r>
    </w:p>
    <w:p w14:paraId="322E6F73" w14:textId="77777777" w:rsidR="00886A26" w:rsidRDefault="00886A26" w:rsidP="00B2322C">
      <w:pPr>
        <w:widowControl w:val="0"/>
        <w:spacing w:before="0" w:after="0"/>
      </w:pPr>
    </w:p>
    <w:p w14:paraId="1541BA99" w14:textId="37336FE2" w:rsidR="00886A26" w:rsidRDefault="00B2322C" w:rsidP="00B2322C">
      <w:pPr>
        <w:widowControl w:val="0"/>
        <w:spacing w:before="0" w:after="0"/>
        <w:rPr>
          <w:b/>
        </w:rPr>
      </w:pPr>
      <w:r>
        <w:rPr>
          <w:b/>
        </w:rPr>
        <w:t>Recommended Reading</w:t>
      </w:r>
    </w:p>
    <w:p w14:paraId="6A3F511C" w14:textId="4B57FEE0" w:rsidR="00335DF4" w:rsidRPr="00335DF4" w:rsidRDefault="00335DF4" w:rsidP="00B2322C">
      <w:pPr>
        <w:widowControl w:val="0"/>
        <w:spacing w:before="0" w:after="0"/>
        <w:rPr>
          <w:bCs/>
        </w:rPr>
      </w:pPr>
      <w:r w:rsidRPr="00335DF4">
        <w:rPr>
          <w:bCs/>
        </w:rPr>
        <w:t>Adams, Crystal, Anwesa Chatterjee, Brittany M. Harder, and Liza Hayes Mathias. "Beyond unequal access: Acculturation, race, and resistance to pharmaceuticalization in the United States." SSM-population health 4 (2018): 350-357.</w:t>
      </w:r>
    </w:p>
    <w:p w14:paraId="09480DB5" w14:textId="09D9C60C" w:rsidR="000A4012" w:rsidRPr="00886A26" w:rsidRDefault="000A4012" w:rsidP="000A4012">
      <w:pPr>
        <w:rPr>
          <w:rFonts w:cstheme="minorHAnsi"/>
        </w:rPr>
      </w:pPr>
      <w:r>
        <w:rPr>
          <w:rFonts w:cstheme="minorHAnsi"/>
        </w:rPr>
        <w:t>Laura Mamo and Steven Epstein, “</w:t>
      </w:r>
      <w:r w:rsidRPr="00682618">
        <w:rPr>
          <w:rFonts w:cstheme="minorHAnsi"/>
        </w:rPr>
        <w:t>The pharmaceuticalization of sexual risk: Vaccine development and the new politics of cancer prevention</w:t>
      </w:r>
      <w:r>
        <w:rPr>
          <w:rFonts w:cstheme="minorHAnsi"/>
        </w:rPr>
        <w:t xml:space="preserve">,” </w:t>
      </w:r>
      <w:r>
        <w:rPr>
          <w:rFonts w:cstheme="minorHAnsi"/>
          <w:i/>
        </w:rPr>
        <w:t xml:space="preserve">Social Science and Medicine </w:t>
      </w:r>
      <w:r>
        <w:rPr>
          <w:rFonts w:cstheme="minorHAnsi"/>
        </w:rPr>
        <w:t>101 (January 2014): 155-165.</w:t>
      </w:r>
    </w:p>
    <w:p w14:paraId="035F824C" w14:textId="028F78B4" w:rsidR="00886A26" w:rsidRPr="00FB0F4E" w:rsidRDefault="00886A26" w:rsidP="00886A26">
      <w:pPr>
        <w:rPr>
          <w:rFonts w:cstheme="minorHAnsi"/>
        </w:rPr>
      </w:pPr>
      <w:r>
        <w:rPr>
          <w:rFonts w:cstheme="minorHAnsi"/>
        </w:rPr>
        <w:lastRenderedPageBreak/>
        <w:t xml:space="preserve">Susan E. </w:t>
      </w:r>
      <w:r w:rsidRPr="00FB0F4E">
        <w:rPr>
          <w:rFonts w:cstheme="minorHAnsi"/>
        </w:rPr>
        <w:t xml:space="preserve">Bell and </w:t>
      </w:r>
      <w:r>
        <w:rPr>
          <w:rFonts w:cstheme="minorHAnsi"/>
        </w:rPr>
        <w:t xml:space="preserve">Anne E. </w:t>
      </w:r>
      <w:r w:rsidRPr="00FB0F4E">
        <w:rPr>
          <w:rFonts w:cstheme="minorHAnsi"/>
        </w:rPr>
        <w:t>Figert, “Medicalization and Pharmaceuticalization at the intersections</w:t>
      </w:r>
      <w:r>
        <w:rPr>
          <w:rFonts w:cstheme="minorHAnsi"/>
        </w:rPr>
        <w:t xml:space="preserve">: </w:t>
      </w:r>
      <w:r w:rsidRPr="00FB0F4E">
        <w:rPr>
          <w:rFonts w:cstheme="minorHAnsi"/>
          <w:lang w:val="en-US"/>
        </w:rPr>
        <w:t>Looking Backward, Sideways and Forward</w:t>
      </w:r>
      <w:r>
        <w:rPr>
          <w:rFonts w:cstheme="minorHAnsi"/>
          <w:lang w:val="en-US"/>
        </w:rPr>
        <w:t>,</w:t>
      </w:r>
      <w:r w:rsidRPr="00FB0F4E">
        <w:rPr>
          <w:rFonts w:cstheme="minorHAnsi"/>
          <w:lang w:val="en-US"/>
        </w:rPr>
        <w:t xml:space="preserve">” </w:t>
      </w:r>
      <w:r w:rsidRPr="00FB0F4E">
        <w:rPr>
          <w:rFonts w:cstheme="minorHAnsi"/>
          <w:i/>
          <w:lang w:val="en-US"/>
        </w:rPr>
        <w:t>Social Science &amp; Medicine</w:t>
      </w:r>
      <w:r w:rsidRPr="00FB0F4E">
        <w:rPr>
          <w:rFonts w:cstheme="minorHAnsi"/>
          <w:lang w:val="en-US"/>
        </w:rPr>
        <w:t xml:space="preserve"> 75 (2012): 2131–33.</w:t>
      </w:r>
      <w:r w:rsidRPr="00FB0F4E">
        <w:rPr>
          <w:rFonts w:cstheme="minorHAnsi"/>
        </w:rPr>
        <w:t>”</w:t>
      </w:r>
    </w:p>
    <w:p w14:paraId="02163FDB" w14:textId="551649A9" w:rsidR="00886A26" w:rsidRDefault="00886A26" w:rsidP="00886A26">
      <w:pPr>
        <w:rPr>
          <w:rFonts w:cstheme="minorHAnsi"/>
          <w:i/>
        </w:rPr>
      </w:pPr>
      <w:r>
        <w:rPr>
          <w:rFonts w:cstheme="minorHAnsi"/>
        </w:rPr>
        <w:t xml:space="preserve">Jeremy A. </w:t>
      </w:r>
      <w:r w:rsidRPr="00FB0F4E">
        <w:rPr>
          <w:rFonts w:cstheme="minorHAnsi"/>
        </w:rPr>
        <w:t>Greene, “Making Medicines Essential</w:t>
      </w:r>
      <w:r>
        <w:rPr>
          <w:rFonts w:cstheme="minorHAnsi"/>
        </w:rPr>
        <w:t xml:space="preserve">: </w:t>
      </w:r>
      <w:r w:rsidRPr="00FB0F4E">
        <w:rPr>
          <w:rFonts w:cstheme="minorHAnsi"/>
        </w:rPr>
        <w:t>The emergent centrality of</w:t>
      </w:r>
      <w:r>
        <w:rPr>
          <w:rFonts w:cstheme="minorHAnsi"/>
        </w:rPr>
        <w:t xml:space="preserve"> </w:t>
      </w:r>
      <w:r w:rsidRPr="00FB0F4E">
        <w:rPr>
          <w:rFonts w:cstheme="minorHAnsi"/>
        </w:rPr>
        <w:t>pharmaceuticals in global health</w:t>
      </w:r>
      <w:r>
        <w:rPr>
          <w:rFonts w:cstheme="minorHAnsi"/>
        </w:rPr>
        <w:t>,</w:t>
      </w:r>
      <w:r w:rsidRPr="00FB0F4E">
        <w:rPr>
          <w:rFonts w:cstheme="minorHAnsi"/>
        </w:rPr>
        <w:t>”</w:t>
      </w:r>
      <w:r>
        <w:rPr>
          <w:rFonts w:cstheme="minorHAnsi"/>
        </w:rPr>
        <w:t xml:space="preserve"> </w:t>
      </w:r>
      <w:r>
        <w:rPr>
          <w:rFonts w:cstheme="minorHAnsi"/>
          <w:i/>
        </w:rPr>
        <w:t xml:space="preserve">BioSocieties </w:t>
      </w:r>
      <w:r>
        <w:rPr>
          <w:rFonts w:cstheme="minorHAnsi"/>
        </w:rPr>
        <w:t>6.1 (2011): 10-33.</w:t>
      </w:r>
      <w:r>
        <w:rPr>
          <w:rFonts w:cstheme="minorHAnsi"/>
          <w:i/>
        </w:rPr>
        <w:t xml:space="preserve"> </w:t>
      </w:r>
    </w:p>
    <w:p w14:paraId="2A9C6869" w14:textId="5E65152F" w:rsidR="00886A26" w:rsidRPr="00A70A7A" w:rsidRDefault="00886A26" w:rsidP="00886A26">
      <w:pPr>
        <w:rPr>
          <w:rFonts w:cstheme="minorHAnsi"/>
        </w:rPr>
      </w:pPr>
      <w:r>
        <w:rPr>
          <w:rFonts w:cstheme="minorHAnsi"/>
        </w:rPr>
        <w:t>Andrea Tone, “</w:t>
      </w:r>
      <w:r>
        <w:t xml:space="preserve">Medicalizing Reproduction: The Pill and Home Pregnancy Tests,” </w:t>
      </w:r>
      <w:r>
        <w:rPr>
          <w:i/>
        </w:rPr>
        <w:t xml:space="preserve">Journal of Sex Research </w:t>
      </w:r>
      <w:r>
        <w:t>49.4 (2012): 319-327.</w:t>
      </w:r>
    </w:p>
    <w:p w14:paraId="050FE6CD" w14:textId="66EA8935" w:rsidR="005A3B75" w:rsidRPr="00595427" w:rsidRDefault="005A3B75" w:rsidP="005A3B75">
      <w:pPr>
        <w:widowControl w:val="0"/>
        <w:spacing w:before="0" w:after="0"/>
      </w:pPr>
      <w:r w:rsidRPr="00595427">
        <w:t>Mbali, Mandisa. "The treatment action campaign and the history of rights-based, patient-driven HIV/AIDS activism in South Africa." </w:t>
      </w:r>
      <w:r w:rsidRPr="00595427">
        <w:rPr>
          <w:i/>
          <w:iCs/>
        </w:rPr>
        <w:t>Democratising development: The politics of socio-economic rights in South Africa</w:t>
      </w:r>
      <w:r w:rsidRPr="00595427">
        <w:t> (2005): 213-243.</w:t>
      </w:r>
    </w:p>
    <w:p w14:paraId="3DA87A10" w14:textId="77777777" w:rsidR="00886A26" w:rsidRDefault="00886A26" w:rsidP="00B2322C">
      <w:pPr>
        <w:widowControl w:val="0"/>
        <w:spacing w:before="0" w:after="0"/>
        <w:rPr>
          <w:b/>
        </w:rPr>
      </w:pPr>
    </w:p>
    <w:p w14:paraId="6849E733" w14:textId="77777777" w:rsidR="006D5446" w:rsidRDefault="006D5446" w:rsidP="00B2322C">
      <w:pPr>
        <w:spacing w:before="0" w:after="0"/>
        <w:rPr>
          <w:b/>
          <w:u w:val="single"/>
        </w:rPr>
      </w:pPr>
    </w:p>
    <w:p w14:paraId="3FA54EC0" w14:textId="67A78EFE" w:rsidR="00B2322C" w:rsidRDefault="00B2322C" w:rsidP="00B2322C">
      <w:pPr>
        <w:spacing w:before="0" w:after="0"/>
        <w:rPr>
          <w:b/>
          <w:u w:val="single"/>
        </w:rPr>
      </w:pPr>
      <w:r>
        <w:rPr>
          <w:b/>
          <w:u w:val="single"/>
        </w:rPr>
        <w:t xml:space="preserve">Week </w:t>
      </w:r>
      <w:r w:rsidR="00886A26">
        <w:rPr>
          <w:b/>
          <w:u w:val="single"/>
        </w:rPr>
        <w:t>4</w:t>
      </w:r>
      <w:r>
        <w:rPr>
          <w:b/>
          <w:u w:val="single"/>
        </w:rPr>
        <w:t xml:space="preserve"> (</w:t>
      </w:r>
      <w:r w:rsidR="00886A26">
        <w:rPr>
          <w:b/>
          <w:u w:val="single"/>
        </w:rPr>
        <w:t xml:space="preserve">Oct </w:t>
      </w:r>
      <w:r w:rsidR="00124B37">
        <w:rPr>
          <w:b/>
          <w:u w:val="single"/>
        </w:rPr>
        <w:t>23</w:t>
      </w:r>
      <w:r>
        <w:rPr>
          <w:b/>
          <w:u w:val="single"/>
        </w:rPr>
        <w:t xml:space="preserve">) – </w:t>
      </w:r>
      <w:r w:rsidR="00E306B0">
        <w:rPr>
          <w:b/>
          <w:u w:val="single"/>
        </w:rPr>
        <w:t>Making and Protecting Markets</w:t>
      </w:r>
    </w:p>
    <w:p w14:paraId="43CAEC86" w14:textId="77777777" w:rsidR="00B2322C" w:rsidRDefault="00B2322C" w:rsidP="00B2322C">
      <w:pPr>
        <w:spacing w:before="0" w:after="0"/>
        <w:rPr>
          <w:b/>
        </w:rPr>
      </w:pPr>
    </w:p>
    <w:p w14:paraId="719C0583" w14:textId="77777777" w:rsidR="00E306B0" w:rsidRDefault="00E306B0" w:rsidP="00E306B0">
      <w:pPr>
        <w:spacing w:before="0" w:after="0"/>
      </w:pPr>
      <w:r>
        <w:t>Learning objectives</w:t>
      </w:r>
    </w:p>
    <w:p w14:paraId="098C7053" w14:textId="77777777" w:rsidR="00E306B0" w:rsidRDefault="00E306B0" w:rsidP="00E306B0">
      <w:pPr>
        <w:numPr>
          <w:ilvl w:val="0"/>
          <w:numId w:val="2"/>
        </w:numPr>
        <w:spacing w:before="0" w:after="0"/>
      </w:pPr>
      <w:r>
        <w:t>be exposed to diverse ways of understanding how capitalism has shaped pharmaceutical development</w:t>
      </w:r>
    </w:p>
    <w:p w14:paraId="6BBDCBD5" w14:textId="77777777" w:rsidR="00E306B0" w:rsidRDefault="00E306B0" w:rsidP="00E306B0">
      <w:pPr>
        <w:numPr>
          <w:ilvl w:val="0"/>
          <w:numId w:val="2"/>
        </w:numPr>
        <w:spacing w:before="0" w:after="0"/>
      </w:pPr>
      <w:r>
        <w:t>consider the diverse ways that differently situated patients are configured within markets</w:t>
      </w:r>
    </w:p>
    <w:p w14:paraId="6B41A69C" w14:textId="77777777" w:rsidR="00E306B0" w:rsidRDefault="00E306B0" w:rsidP="00E306B0">
      <w:pPr>
        <w:spacing w:before="0" w:after="0"/>
        <w:ind w:left="284" w:hanging="284"/>
      </w:pPr>
    </w:p>
    <w:p w14:paraId="50A18ECE" w14:textId="77777777" w:rsidR="00E306B0" w:rsidRDefault="00E306B0" w:rsidP="00E306B0">
      <w:pPr>
        <w:spacing w:before="0" w:after="0"/>
        <w:rPr>
          <w:b/>
        </w:rPr>
      </w:pPr>
      <w:r>
        <w:rPr>
          <w:b/>
        </w:rPr>
        <w:t>Core Reading</w:t>
      </w:r>
    </w:p>
    <w:p w14:paraId="60F05079" w14:textId="77777777" w:rsidR="00E306B0" w:rsidRDefault="00E306B0" w:rsidP="00E306B0">
      <w:pPr>
        <w:widowControl w:val="0"/>
        <w:spacing w:before="0" w:after="0"/>
      </w:pPr>
    </w:p>
    <w:p w14:paraId="7E4C116A" w14:textId="77777777" w:rsidR="00E306B0" w:rsidRPr="00D125C8" w:rsidRDefault="00E306B0" w:rsidP="00E306B0">
      <w:pPr>
        <w:rPr>
          <w:rFonts w:cstheme="minorHAnsi"/>
        </w:rPr>
      </w:pPr>
      <w:r>
        <w:rPr>
          <w:rFonts w:cstheme="minorHAnsi"/>
        </w:rPr>
        <w:t xml:space="preserve">Jeremy A </w:t>
      </w:r>
      <w:r w:rsidRPr="00FB0F4E">
        <w:rPr>
          <w:rFonts w:cstheme="minorHAnsi"/>
        </w:rPr>
        <w:t>Greene, “Releasing the Flood Waters</w:t>
      </w:r>
      <w:r>
        <w:rPr>
          <w:rFonts w:cstheme="minorHAnsi"/>
        </w:rPr>
        <w:t>: Diuril and the Reshaping of Hypertension,</w:t>
      </w:r>
      <w:r w:rsidRPr="00FB0F4E">
        <w:rPr>
          <w:rFonts w:cstheme="minorHAnsi"/>
        </w:rPr>
        <w:t>”</w:t>
      </w:r>
      <w:r>
        <w:rPr>
          <w:rFonts w:cstheme="minorHAnsi"/>
        </w:rPr>
        <w:t xml:space="preserve"> </w:t>
      </w:r>
      <w:r>
        <w:rPr>
          <w:rFonts w:cstheme="minorHAnsi"/>
          <w:i/>
        </w:rPr>
        <w:t xml:space="preserve">Bulletin of the History of Medicine </w:t>
      </w:r>
      <w:r>
        <w:rPr>
          <w:rFonts w:cstheme="minorHAnsi"/>
        </w:rPr>
        <w:t>79.4 (Winter 2005): 749-94.</w:t>
      </w:r>
    </w:p>
    <w:p w14:paraId="4744F915" w14:textId="61423A32" w:rsidR="00E306B0" w:rsidRPr="00FB0F4E" w:rsidRDefault="00E306B0" w:rsidP="00E306B0">
      <w:pPr>
        <w:rPr>
          <w:rFonts w:cstheme="minorHAnsi"/>
        </w:rPr>
      </w:pPr>
      <w:r>
        <w:rPr>
          <w:rFonts w:cstheme="minorHAnsi"/>
        </w:rPr>
        <w:t xml:space="preserve">Stefan </w:t>
      </w:r>
      <w:r w:rsidRPr="00FB0F4E">
        <w:rPr>
          <w:rFonts w:cstheme="minorHAnsi"/>
        </w:rPr>
        <w:t xml:space="preserve">Ecks, “Global Pharmaceutical Markets and Corporate Citizenship: The Case of Novartis’ Anti-Cancer Drug Glivec,” </w:t>
      </w:r>
      <w:r w:rsidRPr="00D125C8">
        <w:rPr>
          <w:rFonts w:cstheme="minorHAnsi"/>
          <w:i/>
        </w:rPr>
        <w:t>BioSocieties</w:t>
      </w:r>
      <w:r w:rsidRPr="00FB0F4E">
        <w:rPr>
          <w:rFonts w:cstheme="minorHAnsi"/>
        </w:rPr>
        <w:t xml:space="preserve"> 3.2 (2008), 165-181.</w:t>
      </w:r>
    </w:p>
    <w:p w14:paraId="3C1471EC" w14:textId="77777777" w:rsidR="00E306B0" w:rsidRDefault="00E306B0" w:rsidP="00E306B0">
      <w:pPr>
        <w:widowControl w:val="0"/>
        <w:spacing w:before="0" w:after="0"/>
      </w:pPr>
    </w:p>
    <w:p w14:paraId="776335A9" w14:textId="4E9EADFD" w:rsidR="00E306B0" w:rsidRPr="00B24100" w:rsidRDefault="00E306B0" w:rsidP="00E306B0">
      <w:pPr>
        <w:widowControl w:val="0"/>
        <w:spacing w:before="0" w:after="0"/>
      </w:pPr>
      <w:r w:rsidRPr="00FD0C9B">
        <w:rPr>
          <w:b/>
          <w:bCs/>
        </w:rPr>
        <w:t>Recommended:</w:t>
      </w:r>
      <w:r>
        <w:t xml:space="preserve"> </w:t>
      </w:r>
      <w:r w:rsidR="00FD0C9B">
        <w:br/>
      </w:r>
      <w:r w:rsidRPr="00B24100">
        <w:t xml:space="preserve">Carlos Novas, “Patients, Profits, and Values: Myozyme as an Exemplar of Biosociality,” in Sahra Gibbon and Carlos Novas, eds., </w:t>
      </w:r>
      <w:r w:rsidRPr="00B24100">
        <w:rPr>
          <w:i/>
        </w:rPr>
        <w:t>Biosocialities, genetics, and the social sciences: Making Biologies and Identities</w:t>
      </w:r>
      <w:r w:rsidRPr="00B24100">
        <w:t xml:space="preserve"> (Routledge: Oxford and New York, 2008): 136-156.</w:t>
      </w:r>
    </w:p>
    <w:p w14:paraId="0DE838DA" w14:textId="3885A6CA" w:rsidR="00B24100" w:rsidRDefault="005A4188" w:rsidP="00B2322C">
      <w:pPr>
        <w:widowControl w:val="0"/>
        <w:spacing w:before="0" w:after="0"/>
      </w:pPr>
      <w:r w:rsidRPr="005A4188">
        <w:t>Dwaipayan</w:t>
      </w:r>
      <w:r>
        <w:t xml:space="preserve"> </w:t>
      </w:r>
      <w:r w:rsidRPr="005A4188">
        <w:t>Banerjee, "Markets and molecules: A pharmaceutical primer from the South</w:t>
      </w:r>
      <w:r>
        <w:t>,</w:t>
      </w:r>
      <w:r w:rsidRPr="005A4188">
        <w:t>" </w:t>
      </w:r>
      <w:r w:rsidRPr="005A4188">
        <w:rPr>
          <w:i/>
          <w:iCs/>
        </w:rPr>
        <w:t xml:space="preserve">Medical </w:t>
      </w:r>
      <w:r>
        <w:rPr>
          <w:i/>
          <w:iCs/>
        </w:rPr>
        <w:t>A</w:t>
      </w:r>
      <w:r w:rsidRPr="005A4188">
        <w:rPr>
          <w:i/>
          <w:iCs/>
        </w:rPr>
        <w:t>nthropology</w:t>
      </w:r>
      <w:r w:rsidRPr="005A4188">
        <w:t> 36, no. 4 (2017): 363-380.</w:t>
      </w:r>
    </w:p>
    <w:p w14:paraId="5F4A50E9" w14:textId="77777777" w:rsidR="005A3B75" w:rsidRDefault="005A3B75" w:rsidP="00595427">
      <w:pPr>
        <w:widowControl w:val="0"/>
        <w:spacing w:before="0" w:after="0"/>
      </w:pPr>
    </w:p>
    <w:p w14:paraId="3DD93B9F" w14:textId="77777777" w:rsidR="00A81C50" w:rsidRDefault="00A81C50" w:rsidP="00310343">
      <w:pPr>
        <w:widowControl w:val="0"/>
        <w:spacing w:before="0" w:after="0"/>
        <w:rPr>
          <w:b/>
          <w:u w:val="single"/>
        </w:rPr>
      </w:pPr>
    </w:p>
    <w:p w14:paraId="0D1DFDBA" w14:textId="77777777" w:rsidR="006D1B11" w:rsidRDefault="006D1B11" w:rsidP="00310343">
      <w:pPr>
        <w:widowControl w:val="0"/>
        <w:spacing w:before="0" w:after="0"/>
        <w:rPr>
          <w:b/>
          <w:u w:val="single"/>
        </w:rPr>
      </w:pPr>
    </w:p>
    <w:p w14:paraId="126BAA9A" w14:textId="7E25D9B5" w:rsidR="00310343" w:rsidRPr="00310343" w:rsidRDefault="00310343" w:rsidP="00310343">
      <w:pPr>
        <w:widowControl w:val="0"/>
        <w:spacing w:before="0" w:after="0"/>
        <w:rPr>
          <w:b/>
          <w:u w:val="single"/>
        </w:rPr>
      </w:pPr>
      <w:r w:rsidRPr="00310343">
        <w:rPr>
          <w:b/>
          <w:u w:val="single"/>
        </w:rPr>
        <w:t>Week 5 (Oct 30) – W</w:t>
      </w:r>
      <w:r>
        <w:rPr>
          <w:b/>
          <w:u w:val="single"/>
        </w:rPr>
        <w:t>aging (and Not Waging) W</w:t>
      </w:r>
      <w:r w:rsidRPr="00310343">
        <w:rPr>
          <w:b/>
          <w:u w:val="single"/>
        </w:rPr>
        <w:t>ar On Drugs</w:t>
      </w:r>
    </w:p>
    <w:p w14:paraId="477C9D80" w14:textId="77777777" w:rsidR="00310343" w:rsidRPr="00310343" w:rsidRDefault="00310343" w:rsidP="00310343">
      <w:pPr>
        <w:widowControl w:val="0"/>
        <w:spacing w:before="0" w:after="0"/>
        <w:rPr>
          <w:b/>
        </w:rPr>
      </w:pPr>
    </w:p>
    <w:p w14:paraId="12B32340" w14:textId="77777777" w:rsidR="00310343" w:rsidRPr="00310343" w:rsidRDefault="00310343" w:rsidP="00310343">
      <w:pPr>
        <w:widowControl w:val="0"/>
        <w:spacing w:before="0" w:after="0"/>
      </w:pPr>
      <w:r w:rsidRPr="00310343">
        <w:t>Explores the political nature of the question of whether and how particular drugs are criminalized.</w:t>
      </w:r>
    </w:p>
    <w:p w14:paraId="7D5C095D" w14:textId="77777777" w:rsidR="00310343" w:rsidRPr="00310343" w:rsidRDefault="00310343" w:rsidP="00310343">
      <w:pPr>
        <w:widowControl w:val="0"/>
        <w:spacing w:before="0" w:after="0"/>
      </w:pPr>
    </w:p>
    <w:p w14:paraId="4EE0410D" w14:textId="77777777" w:rsidR="00310343" w:rsidRPr="00310343" w:rsidRDefault="00310343" w:rsidP="00310343">
      <w:pPr>
        <w:widowControl w:val="0"/>
        <w:spacing w:before="0" w:after="0"/>
      </w:pPr>
      <w:r w:rsidRPr="00310343">
        <w:t>Learning objectives</w:t>
      </w:r>
    </w:p>
    <w:p w14:paraId="0C2C6AC4" w14:textId="77777777" w:rsidR="00310343" w:rsidRPr="00310343" w:rsidRDefault="00310343" w:rsidP="00310343">
      <w:pPr>
        <w:widowControl w:val="0"/>
        <w:numPr>
          <w:ilvl w:val="0"/>
          <w:numId w:val="2"/>
        </w:numPr>
        <w:spacing w:before="0" w:after="0"/>
      </w:pPr>
      <w:r w:rsidRPr="00310343">
        <w:t>to explore the role of racism in drug panics</w:t>
      </w:r>
    </w:p>
    <w:p w14:paraId="1F0888EB" w14:textId="77777777" w:rsidR="00310343" w:rsidRPr="00310343" w:rsidRDefault="00310343" w:rsidP="00310343">
      <w:pPr>
        <w:widowControl w:val="0"/>
        <w:numPr>
          <w:ilvl w:val="0"/>
          <w:numId w:val="2"/>
        </w:numPr>
        <w:spacing w:before="0" w:after="0"/>
      </w:pPr>
      <w:r w:rsidRPr="00310343">
        <w:t>inextricability of somatic effects, psychoactive effects, and social effects</w:t>
      </w:r>
    </w:p>
    <w:p w14:paraId="25795D30" w14:textId="77777777" w:rsidR="00310343" w:rsidRPr="00310343" w:rsidRDefault="00310343" w:rsidP="00310343">
      <w:pPr>
        <w:widowControl w:val="0"/>
        <w:spacing w:before="0" w:after="0"/>
      </w:pPr>
    </w:p>
    <w:p w14:paraId="3BF8CEA8" w14:textId="77777777" w:rsidR="00310343" w:rsidRPr="00310343" w:rsidRDefault="00310343" w:rsidP="00310343">
      <w:pPr>
        <w:widowControl w:val="0"/>
        <w:spacing w:before="0" w:after="0"/>
      </w:pPr>
    </w:p>
    <w:p w14:paraId="531CE32A" w14:textId="77777777" w:rsidR="00310343" w:rsidRPr="00310343" w:rsidRDefault="00310343" w:rsidP="00310343">
      <w:pPr>
        <w:widowControl w:val="0"/>
        <w:spacing w:before="0" w:after="0"/>
        <w:rPr>
          <w:b/>
        </w:rPr>
      </w:pPr>
      <w:r w:rsidRPr="00310343">
        <w:rPr>
          <w:b/>
        </w:rPr>
        <w:t>Core Reading</w:t>
      </w:r>
    </w:p>
    <w:p w14:paraId="16439DD3" w14:textId="77777777" w:rsidR="00310343" w:rsidRPr="00310343" w:rsidRDefault="00310343" w:rsidP="00310343">
      <w:pPr>
        <w:widowControl w:val="0"/>
        <w:spacing w:before="0" w:after="0"/>
        <w:rPr>
          <w:b/>
        </w:rPr>
      </w:pPr>
    </w:p>
    <w:p w14:paraId="3B0A59C8" w14:textId="77777777" w:rsidR="00310343" w:rsidRPr="00310343" w:rsidRDefault="00310343" w:rsidP="00310343">
      <w:pPr>
        <w:widowControl w:val="0"/>
        <w:spacing w:before="0" w:after="0"/>
      </w:pPr>
      <w:r w:rsidRPr="00310343">
        <w:t xml:space="preserve">Michael M. Cohen, “Jim Crow’s Drug War: Race, Coca-Cola, and the Southern Origins of Drug Prohibition,” </w:t>
      </w:r>
      <w:r w:rsidRPr="00310343">
        <w:rPr>
          <w:i/>
        </w:rPr>
        <w:t xml:space="preserve">Southern Cultures </w:t>
      </w:r>
      <w:r w:rsidRPr="00310343">
        <w:t>12.3 (Fall 2006): 55-79.</w:t>
      </w:r>
    </w:p>
    <w:p w14:paraId="172314FE" w14:textId="77777777" w:rsidR="00310343" w:rsidRPr="00310343" w:rsidRDefault="00310343" w:rsidP="00310343">
      <w:pPr>
        <w:widowControl w:val="0"/>
        <w:spacing w:before="0" w:after="0"/>
      </w:pPr>
    </w:p>
    <w:p w14:paraId="37E904C1" w14:textId="77777777" w:rsidR="00310343" w:rsidRPr="00310343" w:rsidRDefault="00310343" w:rsidP="00310343">
      <w:pPr>
        <w:widowControl w:val="0"/>
        <w:spacing w:before="0" w:after="0"/>
      </w:pPr>
      <w:r w:rsidRPr="00310343">
        <w:t>Hansen, Helena. “Assisted Technologies of Social Reproduction: Pharmaceutical Prosthesis for Gender, Race, and Class in the White Opioid ‘Crisis.’” </w:t>
      </w:r>
      <w:r w:rsidRPr="00310343">
        <w:rPr>
          <w:i/>
          <w:iCs/>
        </w:rPr>
        <w:t>Contemporary Drug Problems</w:t>
      </w:r>
      <w:r w:rsidRPr="00310343">
        <w:t> 44, no. 4 (December 2017): 321–38. </w:t>
      </w:r>
      <w:hyperlink r:id="rId21" w:history="1">
        <w:r w:rsidRPr="00310343">
          <w:rPr>
            <w:rStyle w:val="Hyperlink"/>
          </w:rPr>
          <w:t>https://doi.org/10.1177/0091450917739391</w:t>
        </w:r>
      </w:hyperlink>
      <w:r w:rsidRPr="00310343">
        <w:t>.</w:t>
      </w:r>
    </w:p>
    <w:p w14:paraId="01682799" w14:textId="77777777" w:rsidR="00310343" w:rsidRPr="00310343" w:rsidRDefault="00310343" w:rsidP="00310343">
      <w:pPr>
        <w:widowControl w:val="0"/>
        <w:spacing w:before="0" w:after="0"/>
      </w:pPr>
    </w:p>
    <w:p w14:paraId="13C3D700" w14:textId="77777777" w:rsidR="00310343" w:rsidRPr="00310343" w:rsidRDefault="00310343" w:rsidP="00310343">
      <w:pPr>
        <w:widowControl w:val="0"/>
        <w:spacing w:before="0" w:after="0"/>
        <w:rPr>
          <w:b/>
        </w:rPr>
      </w:pPr>
      <w:r w:rsidRPr="00310343">
        <w:rPr>
          <w:b/>
        </w:rPr>
        <w:t>Recommended Reading</w:t>
      </w:r>
    </w:p>
    <w:p w14:paraId="56904730" w14:textId="77777777" w:rsidR="00310343" w:rsidRPr="00310343" w:rsidRDefault="00310343" w:rsidP="00310343">
      <w:pPr>
        <w:widowControl w:val="0"/>
        <w:spacing w:before="0" w:after="0"/>
      </w:pPr>
      <w:r w:rsidRPr="00310343">
        <w:t xml:space="preserve">Howard S. Becker, “Becoming a Marijuana User,” </w:t>
      </w:r>
      <w:r w:rsidRPr="00310343">
        <w:rPr>
          <w:i/>
        </w:rPr>
        <w:t xml:space="preserve">American Journal of Sociology </w:t>
      </w:r>
      <w:r w:rsidRPr="00310343">
        <w:t>59.3 (1953): 235-42.</w:t>
      </w:r>
    </w:p>
    <w:p w14:paraId="7807E9AE" w14:textId="77777777" w:rsidR="00310343" w:rsidRPr="00310343" w:rsidRDefault="00310343" w:rsidP="00310343">
      <w:pPr>
        <w:widowControl w:val="0"/>
        <w:spacing w:before="0" w:after="0"/>
      </w:pPr>
      <w:r w:rsidRPr="00310343">
        <w:t>Neil Carrier &amp; Gernot Klantschnig, “Quasilegality: khat, cannabis and Africa’s drug laws,” Third World Quarterly 39 (2018):2, 350-365.</w:t>
      </w:r>
    </w:p>
    <w:p w14:paraId="629CB1F8" w14:textId="77777777" w:rsidR="00310343" w:rsidRPr="00310343" w:rsidRDefault="00310343" w:rsidP="00310343">
      <w:pPr>
        <w:widowControl w:val="0"/>
        <w:spacing w:before="0" w:after="0"/>
      </w:pPr>
      <w:r w:rsidRPr="00310343">
        <w:t>David Herzberg, “Entitled to Addiction?: Pharmaceuticals, Race, and America's First Drug War.” </w:t>
      </w:r>
      <w:r w:rsidRPr="00310343">
        <w:rPr>
          <w:i/>
          <w:iCs/>
        </w:rPr>
        <w:t>Bulletin of the history of medicine</w:t>
      </w:r>
      <w:r w:rsidRPr="00310343">
        <w:t> vol. 91,3 (2017): 586-623. doi:10.1353/bhm.2017.0061</w:t>
      </w:r>
    </w:p>
    <w:p w14:paraId="30645761" w14:textId="77777777" w:rsidR="00310343" w:rsidRPr="00310343" w:rsidRDefault="00310343" w:rsidP="00310343">
      <w:pPr>
        <w:widowControl w:val="0"/>
        <w:spacing w:before="0" w:after="0"/>
      </w:pPr>
      <w:r w:rsidRPr="00310343">
        <w:t xml:space="preserve">Wendy Chapkis, “Cannabis, Consciousness, and Healing,” </w:t>
      </w:r>
      <w:r w:rsidRPr="00310343">
        <w:rPr>
          <w:i/>
        </w:rPr>
        <w:t>Contemporary Justice Review</w:t>
      </w:r>
      <w:r w:rsidRPr="00310343">
        <w:t xml:space="preserve"> 10.4 (December 2007): pp. 443–460.</w:t>
      </w:r>
    </w:p>
    <w:p w14:paraId="1478E761" w14:textId="77777777" w:rsidR="00310343" w:rsidRPr="00310343" w:rsidRDefault="00310343" w:rsidP="00310343">
      <w:pPr>
        <w:widowControl w:val="0"/>
        <w:spacing w:before="0" w:after="0"/>
      </w:pPr>
      <w:r w:rsidRPr="00310343">
        <w:t xml:space="preserve">Margit Anne Petersen, Lotte Stig Nørgaard, and Janine Marie Traulsen, “Going to the doctor with enhancement in mind – An ethnographic study of university students’ use of prescription stimulants and their moral ambivalence,” </w:t>
      </w:r>
      <w:r w:rsidRPr="00310343">
        <w:rPr>
          <w:i/>
        </w:rPr>
        <w:t>Drugs Education, Prevention and Policy</w:t>
      </w:r>
      <w:r w:rsidRPr="00310343">
        <w:t xml:space="preserve"> 22.3(2014): 201-207.</w:t>
      </w:r>
    </w:p>
    <w:p w14:paraId="2DD87149" w14:textId="77777777" w:rsidR="009C6ACD" w:rsidRPr="009C6ACD" w:rsidRDefault="009C6ACD" w:rsidP="009C6ACD">
      <w:pPr>
        <w:widowControl w:val="0"/>
        <w:spacing w:before="0" w:after="0"/>
      </w:pPr>
    </w:p>
    <w:p w14:paraId="637ECBE5" w14:textId="77777777" w:rsidR="009C6ACD" w:rsidRPr="009C6ACD" w:rsidRDefault="009C6ACD" w:rsidP="009C6ACD">
      <w:pPr>
        <w:widowControl w:val="0"/>
        <w:spacing w:before="0" w:after="0"/>
        <w:rPr>
          <w:b/>
          <w:u w:val="single"/>
        </w:rPr>
      </w:pPr>
      <w:r w:rsidRPr="009C6ACD">
        <w:rPr>
          <w:b/>
          <w:u w:val="single"/>
        </w:rPr>
        <w:t>[Week 6 – Reading Week]</w:t>
      </w:r>
    </w:p>
    <w:p w14:paraId="7331EA37" w14:textId="77777777" w:rsidR="009C6ACD" w:rsidRDefault="009C6ACD" w:rsidP="00B2322C">
      <w:pPr>
        <w:widowControl w:val="0"/>
        <w:spacing w:before="0" w:after="0"/>
      </w:pPr>
    </w:p>
    <w:p w14:paraId="27583881" w14:textId="77777777" w:rsidR="00595427" w:rsidRDefault="00595427" w:rsidP="00B2322C">
      <w:pPr>
        <w:widowControl w:val="0"/>
        <w:spacing w:before="0" w:after="0"/>
      </w:pPr>
    </w:p>
    <w:p w14:paraId="7606C051" w14:textId="287A2254" w:rsidR="00B2322C" w:rsidRDefault="00B2322C" w:rsidP="00B2322C">
      <w:pPr>
        <w:spacing w:before="0" w:after="0"/>
        <w:rPr>
          <w:b/>
          <w:u w:val="single"/>
        </w:rPr>
      </w:pPr>
      <w:r>
        <w:rPr>
          <w:b/>
          <w:u w:val="single"/>
        </w:rPr>
        <w:t xml:space="preserve">Week </w:t>
      </w:r>
      <w:r w:rsidR="00310343" w:rsidRPr="00310343">
        <w:rPr>
          <w:b/>
          <w:u w:val="single"/>
        </w:rPr>
        <w:t>7 (Nov 13)</w:t>
      </w:r>
      <w:r>
        <w:rPr>
          <w:b/>
          <w:u w:val="single"/>
        </w:rPr>
        <w:t xml:space="preserve">– </w:t>
      </w:r>
      <w:r w:rsidR="00886A26">
        <w:rPr>
          <w:b/>
          <w:u w:val="single"/>
        </w:rPr>
        <w:t>Addiction</w:t>
      </w:r>
    </w:p>
    <w:p w14:paraId="7C0CCD39" w14:textId="77777777" w:rsidR="00B2322C" w:rsidRDefault="00B2322C" w:rsidP="00B2322C">
      <w:pPr>
        <w:spacing w:before="0" w:after="0"/>
        <w:rPr>
          <w:b/>
        </w:rPr>
      </w:pPr>
    </w:p>
    <w:p w14:paraId="1229EFD5" w14:textId="47B089DD" w:rsidR="00B2322C" w:rsidRDefault="009E04ED" w:rsidP="00B2322C">
      <w:pPr>
        <w:spacing w:before="0" w:after="0"/>
      </w:pPr>
      <w:r>
        <w:t>Explores the complicated concept of “addiction</w:t>
      </w:r>
      <w:r w:rsidR="00486B5B">
        <w:t>.</w:t>
      </w:r>
      <w:r>
        <w:t>”</w:t>
      </w:r>
    </w:p>
    <w:p w14:paraId="6DE2760C" w14:textId="77777777" w:rsidR="00B2322C" w:rsidRDefault="00B2322C" w:rsidP="00B2322C">
      <w:pPr>
        <w:spacing w:before="0" w:after="0"/>
      </w:pPr>
    </w:p>
    <w:p w14:paraId="23D7A8FE" w14:textId="77777777" w:rsidR="00B2322C" w:rsidRDefault="00B2322C" w:rsidP="00B2322C">
      <w:pPr>
        <w:spacing w:before="0" w:after="0"/>
      </w:pPr>
      <w:r>
        <w:t>Learning objectives</w:t>
      </w:r>
    </w:p>
    <w:p w14:paraId="237ACADA" w14:textId="048C77AD" w:rsidR="00B2322C" w:rsidRDefault="009E04ED" w:rsidP="00B2322C">
      <w:pPr>
        <w:numPr>
          <w:ilvl w:val="0"/>
          <w:numId w:val="2"/>
        </w:numPr>
        <w:spacing w:before="0" w:after="0"/>
      </w:pPr>
      <w:r>
        <w:t>grapple with tensions between capitalism, the state, and addiction</w:t>
      </w:r>
    </w:p>
    <w:p w14:paraId="729E4FEF" w14:textId="0F84C625" w:rsidR="00B2322C" w:rsidRDefault="009E04ED" w:rsidP="009E04ED">
      <w:pPr>
        <w:numPr>
          <w:ilvl w:val="0"/>
          <w:numId w:val="2"/>
        </w:numPr>
        <w:spacing w:before="0" w:after="0"/>
      </w:pPr>
      <w:r>
        <w:t>consider how licit and illicit drugs are imagined in addiction discourse</w:t>
      </w:r>
    </w:p>
    <w:p w14:paraId="3E6D73EB" w14:textId="77777777" w:rsidR="00B2322C" w:rsidRDefault="00B2322C" w:rsidP="00B2322C">
      <w:pPr>
        <w:spacing w:before="0" w:after="0"/>
        <w:ind w:left="284" w:hanging="284"/>
      </w:pPr>
    </w:p>
    <w:p w14:paraId="0804CE06" w14:textId="77777777" w:rsidR="00B2322C" w:rsidRDefault="00B2322C" w:rsidP="00B2322C">
      <w:pPr>
        <w:spacing w:before="0" w:after="0"/>
        <w:rPr>
          <w:b/>
        </w:rPr>
      </w:pPr>
      <w:r>
        <w:rPr>
          <w:b/>
        </w:rPr>
        <w:t>Core Reading</w:t>
      </w:r>
    </w:p>
    <w:p w14:paraId="3B6072E1" w14:textId="7CA33A79" w:rsidR="00B2322C" w:rsidRDefault="00B2322C" w:rsidP="00B2322C">
      <w:pPr>
        <w:widowControl w:val="0"/>
        <w:spacing w:before="0" w:after="0"/>
      </w:pPr>
    </w:p>
    <w:p w14:paraId="6897D882" w14:textId="409318EA" w:rsidR="00886A26" w:rsidRDefault="00886A26" w:rsidP="00886A26">
      <w:r>
        <w:t>Philippe</w:t>
      </w:r>
      <w:r w:rsidRPr="00FB0F4E">
        <w:rPr>
          <w:rFonts w:cstheme="minorHAnsi"/>
        </w:rPr>
        <w:t xml:space="preserve"> Bourgois,</w:t>
      </w:r>
      <w:r>
        <w:t xml:space="preserve"> “Disciplining Addictions: The Biopolitics of Methadone and Heroin in the United States,” </w:t>
      </w:r>
      <w:r>
        <w:rPr>
          <w:i/>
        </w:rPr>
        <w:t>Culture, Medicine and Psychiatry</w:t>
      </w:r>
      <w:r>
        <w:t xml:space="preserve"> 24 (2000): 165-195.</w:t>
      </w:r>
    </w:p>
    <w:p w14:paraId="3217C866" w14:textId="5EB11C12" w:rsidR="005D7144" w:rsidRPr="005D7144" w:rsidRDefault="005D7144" w:rsidP="005D7144">
      <w:pPr>
        <w:rPr>
          <w:lang w:val="en-GB"/>
        </w:rPr>
      </w:pPr>
      <w:r w:rsidRPr="005D7144">
        <w:rPr>
          <w:lang w:val="en-GB"/>
        </w:rPr>
        <w:t>Pablo Seward Delaporte</w:t>
      </w:r>
      <w:r w:rsidR="00AA5D81">
        <w:rPr>
          <w:lang w:val="en-GB"/>
        </w:rPr>
        <w:t>,</w:t>
      </w:r>
      <w:r w:rsidR="00AA5D81" w:rsidRPr="005D7144">
        <w:rPr>
          <w:lang w:val="en-GB"/>
        </w:rPr>
        <w:t xml:space="preserve"> </w:t>
      </w:r>
      <w:r w:rsidR="00AA5D81">
        <w:rPr>
          <w:lang w:val="en-GB"/>
        </w:rPr>
        <w:t>“</w:t>
      </w:r>
      <w:r w:rsidRPr="005D7144">
        <w:rPr>
          <w:lang w:val="en-GB"/>
        </w:rPr>
        <w:t>‘We Will Revive’: addiction, spiritual warfare, and recovery in Latin America’s cocaine production zone,</w:t>
      </w:r>
      <w:r w:rsidR="00AA5D81">
        <w:rPr>
          <w:lang w:val="en-GB"/>
        </w:rPr>
        <w:t>”</w:t>
      </w:r>
      <w:r w:rsidRPr="005D7144">
        <w:rPr>
          <w:lang w:val="en-GB"/>
        </w:rPr>
        <w:t> </w:t>
      </w:r>
      <w:r w:rsidRPr="005D7144">
        <w:rPr>
          <w:i/>
          <w:iCs/>
          <w:lang w:val="en-GB"/>
        </w:rPr>
        <w:t>Third World Quarterly</w:t>
      </w:r>
      <w:r w:rsidRPr="005D7144">
        <w:rPr>
          <w:lang w:val="en-GB"/>
        </w:rPr>
        <w:t>, 39</w:t>
      </w:r>
      <w:r w:rsidR="00AA5D81">
        <w:rPr>
          <w:lang w:val="en-GB"/>
        </w:rPr>
        <w:t xml:space="preserve"> (</w:t>
      </w:r>
      <w:r w:rsidR="00AA5D81" w:rsidRPr="005D7144">
        <w:rPr>
          <w:lang w:val="en-GB"/>
        </w:rPr>
        <w:t>2018)</w:t>
      </w:r>
      <w:r w:rsidR="00AA5D81">
        <w:rPr>
          <w:lang w:val="en-GB"/>
        </w:rPr>
        <w:t xml:space="preserve"> no. </w:t>
      </w:r>
      <w:r w:rsidRPr="005D7144">
        <w:rPr>
          <w:lang w:val="en-GB"/>
        </w:rPr>
        <w:t>2</w:t>
      </w:r>
      <w:r w:rsidR="00AA5D81">
        <w:rPr>
          <w:lang w:val="en-GB"/>
        </w:rPr>
        <w:t>:</w:t>
      </w:r>
      <w:r w:rsidRPr="005D7144">
        <w:rPr>
          <w:lang w:val="en-GB"/>
        </w:rPr>
        <w:t> 298-313, DOI: </w:t>
      </w:r>
      <w:hyperlink r:id="rId22" w:history="1">
        <w:r w:rsidRPr="005D7144">
          <w:rPr>
            <w:rStyle w:val="Hyperlink"/>
            <w:lang w:val="en-GB"/>
          </w:rPr>
          <w:t>10.1080/01436597.2017.1328275</w:t>
        </w:r>
      </w:hyperlink>
    </w:p>
    <w:p w14:paraId="7C1E4956" w14:textId="77777777" w:rsidR="008D6B15" w:rsidRDefault="008D6B15" w:rsidP="00886A26"/>
    <w:p w14:paraId="72076B98" w14:textId="231DBF48" w:rsidR="008D6B15" w:rsidRPr="008D6B15" w:rsidRDefault="003B6544" w:rsidP="003B6544">
      <w:r>
        <w:t>Recommended:</w:t>
      </w:r>
    </w:p>
    <w:p w14:paraId="38EB4E28" w14:textId="7A5C7217" w:rsidR="005D7144" w:rsidRPr="00FD0C9B" w:rsidRDefault="003B6544" w:rsidP="00FD0C9B">
      <w:pPr>
        <w:rPr>
          <w:rFonts w:cstheme="minorHAnsi"/>
        </w:rPr>
      </w:pPr>
      <w:r w:rsidRPr="003B6544">
        <w:rPr>
          <w:rFonts w:cstheme="minorHAnsi"/>
        </w:rPr>
        <w:t xml:space="preserve">Ole Bjerg, “Drug Addiction and Capitalism: Too Close to the Body,” </w:t>
      </w:r>
      <w:r w:rsidRPr="003B6544">
        <w:rPr>
          <w:rFonts w:cstheme="minorHAnsi"/>
          <w:i/>
        </w:rPr>
        <w:t xml:space="preserve">Body and Society </w:t>
      </w:r>
      <w:r w:rsidRPr="003B6544">
        <w:rPr>
          <w:rFonts w:cstheme="minorHAnsi"/>
        </w:rPr>
        <w:t>14.1 (2008): 1-22.</w:t>
      </w:r>
    </w:p>
    <w:p w14:paraId="6159C3AB" w14:textId="77777777" w:rsidR="005D7144" w:rsidRPr="005D7144" w:rsidRDefault="005D7144" w:rsidP="005D7144">
      <w:pPr>
        <w:widowControl w:val="0"/>
        <w:spacing w:before="0" w:after="0"/>
      </w:pPr>
      <w:r w:rsidRPr="005D7144">
        <w:t>Hansen, Helena, Caroline Parker, and Jules Netherland. "Race as a Ghost Variable in (White) Opioid Research." Science, Technology, &amp; Human Values (2020): 0162243920912812.</w:t>
      </w:r>
    </w:p>
    <w:p w14:paraId="3E4D56AD" w14:textId="36223903" w:rsidR="008D6B15" w:rsidRPr="008D6B15" w:rsidRDefault="008D6B15" w:rsidP="008D6B15">
      <w:pPr>
        <w:widowControl w:val="0"/>
        <w:spacing w:before="0" w:after="0"/>
      </w:pPr>
      <w:r w:rsidRPr="008D6B15">
        <w:t xml:space="preserve">Scott Vrecko, “Birth of a brain disease: science, the state and addiction neuropolitics,” </w:t>
      </w:r>
      <w:r w:rsidRPr="008D6B15">
        <w:rPr>
          <w:i/>
        </w:rPr>
        <w:t>History of the Human Sciences</w:t>
      </w:r>
      <w:r w:rsidRPr="008D6B15">
        <w:t xml:space="preserve"> 23.4 (2010): 52 – 67.</w:t>
      </w:r>
    </w:p>
    <w:p w14:paraId="1D073EF4" w14:textId="473FE31B" w:rsidR="00886A26" w:rsidRDefault="00886A26" w:rsidP="00B2322C">
      <w:pPr>
        <w:widowControl w:val="0"/>
        <w:spacing w:before="0" w:after="0"/>
      </w:pPr>
    </w:p>
    <w:p w14:paraId="6F733366" w14:textId="77777777" w:rsidR="00B2322C" w:rsidRDefault="00B2322C" w:rsidP="00B2322C">
      <w:pPr>
        <w:widowControl w:val="0"/>
        <w:spacing w:before="0" w:after="0"/>
        <w:rPr>
          <w:b/>
        </w:rPr>
      </w:pPr>
    </w:p>
    <w:p w14:paraId="3F02E8AC" w14:textId="5A7B2347" w:rsidR="00B2322C" w:rsidRDefault="00B2322C" w:rsidP="00B2322C">
      <w:pPr>
        <w:spacing w:before="0" w:after="0"/>
        <w:rPr>
          <w:b/>
          <w:u w:val="single"/>
        </w:rPr>
      </w:pPr>
      <w:r>
        <w:rPr>
          <w:b/>
          <w:u w:val="single"/>
        </w:rPr>
        <w:t xml:space="preserve">Week </w:t>
      </w:r>
      <w:r w:rsidR="00886A26">
        <w:rPr>
          <w:b/>
          <w:u w:val="single"/>
        </w:rPr>
        <w:t>8</w:t>
      </w:r>
      <w:r>
        <w:rPr>
          <w:b/>
          <w:u w:val="single"/>
        </w:rPr>
        <w:t xml:space="preserve"> (</w:t>
      </w:r>
      <w:r w:rsidR="00886A26">
        <w:rPr>
          <w:b/>
          <w:u w:val="single"/>
        </w:rPr>
        <w:t xml:space="preserve">Nov </w:t>
      </w:r>
      <w:r w:rsidR="00124B37">
        <w:rPr>
          <w:b/>
          <w:u w:val="single"/>
        </w:rPr>
        <w:t>20</w:t>
      </w:r>
      <w:r>
        <w:rPr>
          <w:b/>
          <w:u w:val="single"/>
        </w:rPr>
        <w:t xml:space="preserve">) – </w:t>
      </w:r>
      <w:r w:rsidR="00491EFF">
        <w:rPr>
          <w:b/>
          <w:u w:val="single"/>
        </w:rPr>
        <w:t>“Traditional” medicines</w:t>
      </w:r>
    </w:p>
    <w:p w14:paraId="6DA4EF11" w14:textId="77777777" w:rsidR="00B2322C" w:rsidRDefault="00B2322C" w:rsidP="00B2322C">
      <w:pPr>
        <w:spacing w:before="0" w:after="0"/>
        <w:rPr>
          <w:b/>
        </w:rPr>
      </w:pPr>
    </w:p>
    <w:p w14:paraId="6B743E2F" w14:textId="4725517D" w:rsidR="00B2322C" w:rsidRDefault="00410AD0" w:rsidP="00B2322C">
      <w:pPr>
        <w:spacing w:before="0" w:after="0"/>
      </w:pPr>
      <w:r>
        <w:t>Considers how “traditional” medicines are constituted as a category.</w:t>
      </w:r>
    </w:p>
    <w:p w14:paraId="65827733" w14:textId="77777777" w:rsidR="00B2322C" w:rsidRDefault="00B2322C" w:rsidP="00B2322C">
      <w:pPr>
        <w:spacing w:before="0" w:after="0"/>
      </w:pPr>
    </w:p>
    <w:p w14:paraId="5923CF8B" w14:textId="77777777" w:rsidR="00B2322C" w:rsidRDefault="00B2322C" w:rsidP="00B2322C">
      <w:pPr>
        <w:spacing w:before="0" w:after="0"/>
      </w:pPr>
      <w:r>
        <w:t>Learning objectives</w:t>
      </w:r>
    </w:p>
    <w:p w14:paraId="5747ED50" w14:textId="3072B596" w:rsidR="00B2322C" w:rsidRDefault="00410AD0" w:rsidP="00410AD0">
      <w:pPr>
        <w:numPr>
          <w:ilvl w:val="0"/>
          <w:numId w:val="2"/>
        </w:numPr>
        <w:spacing w:before="0" w:after="0"/>
      </w:pPr>
      <w:r>
        <w:t>trouble the binary between “traditional” and “modern” medicines</w:t>
      </w:r>
    </w:p>
    <w:p w14:paraId="3BAD1A48" w14:textId="75DE49AD" w:rsidR="00B502B9" w:rsidRDefault="00B502B9" w:rsidP="00410AD0">
      <w:pPr>
        <w:numPr>
          <w:ilvl w:val="0"/>
          <w:numId w:val="2"/>
        </w:numPr>
        <w:spacing w:before="0" w:after="0"/>
      </w:pPr>
      <w:r>
        <w:t xml:space="preserve">consider the intertwined </w:t>
      </w:r>
      <w:r w:rsidR="002078E0">
        <w:t xml:space="preserve">character </w:t>
      </w:r>
      <w:r>
        <w:t>of ritual and efficacy</w:t>
      </w:r>
    </w:p>
    <w:p w14:paraId="7D680674" w14:textId="54CA3BAE" w:rsidR="00B2322C" w:rsidRDefault="00410AD0" w:rsidP="00B2322C">
      <w:pPr>
        <w:numPr>
          <w:ilvl w:val="0"/>
          <w:numId w:val="2"/>
        </w:numPr>
        <w:spacing w:before="0" w:after="0"/>
      </w:pPr>
      <w:r>
        <w:t>consider the materiality of plants and pills</w:t>
      </w:r>
    </w:p>
    <w:p w14:paraId="1ACC7BAA" w14:textId="77777777" w:rsidR="00B2322C" w:rsidRDefault="00B2322C" w:rsidP="00B2322C">
      <w:pPr>
        <w:spacing w:before="0" w:after="0"/>
        <w:ind w:left="284" w:hanging="284"/>
      </w:pPr>
    </w:p>
    <w:p w14:paraId="31B0F569" w14:textId="77777777" w:rsidR="00B2322C" w:rsidRDefault="00B2322C" w:rsidP="00B2322C">
      <w:pPr>
        <w:spacing w:before="0" w:after="0"/>
        <w:rPr>
          <w:b/>
        </w:rPr>
      </w:pPr>
      <w:r>
        <w:rPr>
          <w:b/>
        </w:rPr>
        <w:t>Core Reading</w:t>
      </w:r>
    </w:p>
    <w:p w14:paraId="6CC39003" w14:textId="760088C4" w:rsidR="00B2322C" w:rsidRDefault="00B2322C" w:rsidP="00B2322C">
      <w:pPr>
        <w:widowControl w:val="0"/>
        <w:spacing w:before="0" w:after="0"/>
      </w:pPr>
    </w:p>
    <w:p w14:paraId="1E99FE49" w14:textId="77777777" w:rsidR="00491EFF" w:rsidRPr="00432F42" w:rsidRDefault="00491EFF" w:rsidP="00491EFF">
      <w:pPr>
        <w:rPr>
          <w:rFonts w:cstheme="minorHAnsi"/>
        </w:rPr>
      </w:pPr>
      <w:r>
        <w:rPr>
          <w:rFonts w:cstheme="minorHAnsi"/>
        </w:rPr>
        <w:t xml:space="preserve">Piera </w:t>
      </w:r>
      <w:r w:rsidRPr="00FB0F4E">
        <w:rPr>
          <w:rFonts w:cstheme="minorHAnsi"/>
        </w:rPr>
        <w:t xml:space="preserve">Talin and </w:t>
      </w:r>
      <w:r>
        <w:rPr>
          <w:rFonts w:cstheme="minorHAnsi"/>
        </w:rPr>
        <w:t xml:space="preserve">Emilia </w:t>
      </w:r>
      <w:r w:rsidRPr="00FB0F4E">
        <w:rPr>
          <w:rFonts w:cstheme="minorHAnsi"/>
        </w:rPr>
        <w:t>Sanabria, “Ayahuasca's entwined efficacy: An ethnographic study of ritual healing from ‘addiction</w:t>
      </w:r>
      <w:r>
        <w:rPr>
          <w:rFonts w:cstheme="minorHAnsi"/>
        </w:rPr>
        <w:t>,</w:t>
      </w:r>
      <w:r w:rsidRPr="00FB0F4E">
        <w:rPr>
          <w:rFonts w:cstheme="minorHAnsi"/>
        </w:rPr>
        <w:t>’</w:t>
      </w:r>
      <w:r>
        <w:rPr>
          <w:rFonts w:cstheme="minorHAnsi"/>
        </w:rPr>
        <w:t xml:space="preserve">” </w:t>
      </w:r>
      <w:r>
        <w:rPr>
          <w:rFonts w:cstheme="minorHAnsi"/>
          <w:i/>
        </w:rPr>
        <w:t xml:space="preserve">International Journal of Drug Policy </w:t>
      </w:r>
      <w:r>
        <w:rPr>
          <w:rFonts w:cstheme="minorHAnsi"/>
        </w:rPr>
        <w:t>44 (2017): 23-30.</w:t>
      </w:r>
    </w:p>
    <w:p w14:paraId="770B448E" w14:textId="77777777" w:rsidR="00DB2EE5" w:rsidRDefault="00DB2EE5" w:rsidP="00491EFF">
      <w:pPr>
        <w:rPr>
          <w:rFonts w:cstheme="minorHAnsi"/>
        </w:rPr>
      </w:pPr>
    </w:p>
    <w:p w14:paraId="384A77A0" w14:textId="6187EA4F" w:rsidR="006071CC" w:rsidRPr="006071CC" w:rsidRDefault="006071CC" w:rsidP="006071CC">
      <w:pPr>
        <w:rPr>
          <w:rFonts w:cstheme="minorHAnsi"/>
          <w:bCs/>
        </w:rPr>
      </w:pPr>
      <w:r w:rsidRPr="006071CC">
        <w:rPr>
          <w:rFonts w:cstheme="minorHAnsi"/>
          <w:bCs/>
        </w:rPr>
        <w:t xml:space="preserve">Ayo Wahlberg, “Pathways to Plausibility: When Herbs Become Pills,” </w:t>
      </w:r>
      <w:r w:rsidRPr="006071CC">
        <w:rPr>
          <w:rFonts w:cstheme="minorHAnsi"/>
          <w:bCs/>
          <w:i/>
        </w:rPr>
        <w:t>BioSocieties</w:t>
      </w:r>
      <w:r w:rsidRPr="006071CC">
        <w:rPr>
          <w:rFonts w:cstheme="minorHAnsi"/>
          <w:bCs/>
        </w:rPr>
        <w:t xml:space="preserve"> 3 (2008): 37–56</w:t>
      </w:r>
    </w:p>
    <w:p w14:paraId="7DBC78CC" w14:textId="77777777" w:rsidR="006071CC" w:rsidRDefault="006071CC" w:rsidP="00491EFF">
      <w:pPr>
        <w:rPr>
          <w:rFonts w:cstheme="minorHAnsi"/>
        </w:rPr>
      </w:pPr>
    </w:p>
    <w:p w14:paraId="01FB3E84" w14:textId="77777777" w:rsidR="00491EFF" w:rsidRDefault="00491EFF" w:rsidP="00B2322C">
      <w:pPr>
        <w:widowControl w:val="0"/>
        <w:spacing w:before="0" w:after="0"/>
      </w:pPr>
    </w:p>
    <w:p w14:paraId="2578BF3F" w14:textId="71A74BDB" w:rsidR="00B2322C" w:rsidRDefault="00B2322C" w:rsidP="00B2322C">
      <w:pPr>
        <w:widowControl w:val="0"/>
        <w:spacing w:before="0" w:after="0"/>
        <w:rPr>
          <w:b/>
        </w:rPr>
      </w:pPr>
      <w:r>
        <w:rPr>
          <w:b/>
        </w:rPr>
        <w:t>Recommended Reading</w:t>
      </w:r>
    </w:p>
    <w:p w14:paraId="010FDC1A" w14:textId="4791CCF9" w:rsidR="006071CC" w:rsidRPr="006071CC" w:rsidRDefault="006071CC" w:rsidP="006071CC">
      <w:pPr>
        <w:rPr>
          <w:rFonts w:cstheme="minorHAnsi"/>
        </w:rPr>
      </w:pPr>
      <w:r w:rsidRPr="006071CC">
        <w:rPr>
          <w:rFonts w:cstheme="minorHAnsi"/>
        </w:rPr>
        <w:t>Walter Bruchhausen, "Medicalized Healing in East Africa," In </w:t>
      </w:r>
      <w:r w:rsidRPr="006071CC">
        <w:rPr>
          <w:rFonts w:cstheme="minorHAnsi"/>
          <w:i/>
          <w:iCs/>
        </w:rPr>
        <w:t>Medicine - Religion - Spirituality</w:t>
      </w:r>
      <w:r w:rsidRPr="006071CC">
        <w:rPr>
          <w:rFonts w:cstheme="minorHAnsi"/>
        </w:rPr>
        <w:t>, (Bielefeld, 2018) doi: https://doi.org/10.14361/9783839445822-003.</w:t>
      </w:r>
    </w:p>
    <w:p w14:paraId="71451BBB" w14:textId="3F714699" w:rsidR="00064031" w:rsidRPr="00064031" w:rsidRDefault="00064031" w:rsidP="00064031">
      <w:pPr>
        <w:rPr>
          <w:rFonts w:cstheme="minorHAnsi"/>
          <w:lang w:val="en-US"/>
        </w:rPr>
      </w:pPr>
      <w:r w:rsidRPr="00064031">
        <w:rPr>
          <w:rFonts w:cstheme="minorHAnsi"/>
        </w:rPr>
        <w:t>Laura A. Foster, “Inventing Hoodia:</w:t>
      </w:r>
      <w:r w:rsidRPr="00064031">
        <w:rPr>
          <w:rFonts w:cstheme="minorHAnsi"/>
          <w:lang w:val="en-US"/>
        </w:rPr>
        <w:t xml:space="preserve"> Vulnerabilities and Epistemic Citizenship in Southern Africa,” </w:t>
      </w:r>
      <w:r w:rsidRPr="00064031">
        <w:rPr>
          <w:rFonts w:cstheme="minorHAnsi"/>
          <w:i/>
          <w:lang w:val="en-US"/>
        </w:rPr>
        <w:t>CSW Update</w:t>
      </w:r>
      <w:r w:rsidRPr="00064031">
        <w:rPr>
          <w:rFonts w:cstheme="minorHAnsi"/>
          <w:lang w:val="en-US"/>
        </w:rPr>
        <w:t xml:space="preserve"> (April 2011): 15–19.</w:t>
      </w:r>
    </w:p>
    <w:p w14:paraId="40A1EFEE" w14:textId="77AE22C3" w:rsidR="00491EFF" w:rsidRPr="00FB0F4E" w:rsidRDefault="00491EFF" w:rsidP="00491EFF">
      <w:pPr>
        <w:rPr>
          <w:rFonts w:cstheme="minorHAnsi"/>
        </w:rPr>
      </w:pPr>
      <w:r>
        <w:rPr>
          <w:rFonts w:cstheme="minorHAnsi"/>
        </w:rPr>
        <w:t xml:space="preserve">Damien </w:t>
      </w:r>
      <w:r w:rsidRPr="00FB0F4E">
        <w:rPr>
          <w:rFonts w:cstheme="minorHAnsi"/>
        </w:rPr>
        <w:t>Droney, “Scientific Capacity Building and Ontologies of Herbal Medicines in Ghana</w:t>
      </w:r>
      <w:r>
        <w:rPr>
          <w:rFonts w:cstheme="minorHAnsi"/>
        </w:rPr>
        <w:t>,</w:t>
      </w:r>
      <w:r w:rsidRPr="00FB0F4E">
        <w:rPr>
          <w:rFonts w:cstheme="minorHAnsi"/>
        </w:rPr>
        <w:t>”</w:t>
      </w:r>
      <w:r>
        <w:rPr>
          <w:rFonts w:cstheme="minorHAnsi"/>
        </w:rPr>
        <w:t xml:space="preserve"> </w:t>
      </w:r>
      <w:r w:rsidRPr="001B7D3F">
        <w:rPr>
          <w:rFonts w:cstheme="minorHAnsi"/>
          <w:i/>
          <w:lang w:val="en-US"/>
        </w:rPr>
        <w:t>Canadian Journal of African Studies</w:t>
      </w:r>
      <w:r w:rsidRPr="001B7D3F">
        <w:rPr>
          <w:rFonts w:cstheme="minorHAnsi"/>
          <w:lang w:val="en-US"/>
        </w:rPr>
        <w:t>, 50, no. 3 (2016): 437–54.</w:t>
      </w:r>
    </w:p>
    <w:p w14:paraId="1E14DC03" w14:textId="6E78821B" w:rsidR="000E7E32" w:rsidRDefault="00491EFF" w:rsidP="00911BF4">
      <w:pPr>
        <w:widowControl w:val="0"/>
        <w:spacing w:before="0" w:after="0"/>
        <w:rPr>
          <w:b/>
        </w:rPr>
      </w:pPr>
      <w:r>
        <w:rPr>
          <w:rFonts w:cstheme="minorHAnsi"/>
        </w:rPr>
        <w:t xml:space="preserve">Cori </w:t>
      </w:r>
      <w:r w:rsidRPr="00FB0F4E">
        <w:rPr>
          <w:rFonts w:cstheme="minorHAnsi"/>
        </w:rPr>
        <w:t>Hayden, “Bioprospecting’s representational dilemma</w:t>
      </w:r>
      <w:r>
        <w:rPr>
          <w:rFonts w:cstheme="minorHAnsi"/>
        </w:rPr>
        <w:t>,</w:t>
      </w:r>
      <w:r w:rsidRPr="00FB0F4E">
        <w:rPr>
          <w:rFonts w:cstheme="minorHAnsi"/>
        </w:rPr>
        <w:t>”</w:t>
      </w:r>
      <w:r>
        <w:rPr>
          <w:rFonts w:cstheme="minorHAnsi"/>
        </w:rPr>
        <w:t xml:space="preserve"> </w:t>
      </w:r>
      <w:r>
        <w:rPr>
          <w:rFonts w:cstheme="minorHAnsi"/>
          <w:i/>
        </w:rPr>
        <w:t xml:space="preserve">Science as Culture </w:t>
      </w:r>
      <w:r>
        <w:rPr>
          <w:rFonts w:cstheme="minorHAnsi"/>
        </w:rPr>
        <w:t>14.2 (2005): 185-2000.</w:t>
      </w:r>
    </w:p>
    <w:p w14:paraId="177AD886" w14:textId="20243BF9" w:rsidR="00911BF4" w:rsidRPr="00911BF4" w:rsidRDefault="00911BF4" w:rsidP="00911BF4">
      <w:pPr>
        <w:widowControl w:val="0"/>
        <w:spacing w:before="0" w:after="0"/>
        <w:rPr>
          <w:b/>
        </w:rPr>
      </w:pPr>
      <w:r w:rsidRPr="00911BF4">
        <w:rPr>
          <w:bCs/>
          <w:lang w:val="en-GB"/>
        </w:rPr>
        <w:t xml:space="preserve">Abena Dove Osseo-Asare, </w:t>
      </w:r>
      <w:r>
        <w:rPr>
          <w:bCs/>
          <w:lang w:val="en-GB"/>
        </w:rPr>
        <w:t>“</w:t>
      </w:r>
      <w:r w:rsidRPr="00911BF4">
        <w:rPr>
          <w:bCs/>
          <w:lang w:val="en-GB"/>
        </w:rPr>
        <w:t>Bioprospecting and Resistance: Transforming Poisoned Arrows into Strophantin Pills in Colonial Gold Coast, 1885–1922,</w:t>
      </w:r>
      <w:r>
        <w:rPr>
          <w:bCs/>
          <w:lang w:val="en-GB"/>
        </w:rPr>
        <w:t>”</w:t>
      </w:r>
      <w:r w:rsidRPr="00911BF4">
        <w:rPr>
          <w:bCs/>
          <w:lang w:val="en-GB"/>
        </w:rPr>
        <w:t> </w:t>
      </w:r>
      <w:r w:rsidRPr="00911BF4">
        <w:rPr>
          <w:bCs/>
          <w:i/>
          <w:iCs/>
          <w:lang w:val="en-GB"/>
        </w:rPr>
        <w:t>Social History of Medicine</w:t>
      </w:r>
      <w:r w:rsidRPr="00911BF4">
        <w:rPr>
          <w:bCs/>
          <w:lang w:val="en-GB"/>
        </w:rPr>
        <w:t xml:space="preserve">, Volume 21, Issue 2, August 2008, Pages 269 -290, </w:t>
      </w:r>
      <w:r>
        <w:rPr>
          <w:bCs/>
          <w:lang w:val="en-GB"/>
        </w:rPr>
        <w:t>h</w:t>
      </w:r>
      <w:r w:rsidRPr="00911BF4">
        <w:rPr>
          <w:bCs/>
          <w:lang w:val="en-GB"/>
        </w:rPr>
        <w:t>ttps://doi.org/10.1093/shm/hkn025</w:t>
      </w:r>
    </w:p>
    <w:p w14:paraId="4816028D" w14:textId="77777777" w:rsidR="00911BF4" w:rsidRDefault="00911BF4" w:rsidP="003B6544">
      <w:pPr>
        <w:widowControl w:val="0"/>
        <w:spacing w:before="0" w:after="0"/>
        <w:rPr>
          <w:bCs/>
        </w:rPr>
      </w:pPr>
    </w:p>
    <w:p w14:paraId="568AEE15" w14:textId="77777777" w:rsidR="00911BF4" w:rsidRDefault="00911BF4" w:rsidP="003B6544">
      <w:pPr>
        <w:widowControl w:val="0"/>
        <w:spacing w:before="0" w:after="0"/>
        <w:rPr>
          <w:bCs/>
        </w:rPr>
      </w:pPr>
    </w:p>
    <w:p w14:paraId="68EFF8A2" w14:textId="77777777" w:rsidR="003B6544" w:rsidRDefault="003B6544" w:rsidP="00B2322C">
      <w:pPr>
        <w:widowControl w:val="0"/>
        <w:spacing w:before="0" w:after="0"/>
        <w:rPr>
          <w:b/>
        </w:rPr>
      </w:pPr>
    </w:p>
    <w:p w14:paraId="211A2302" w14:textId="77777777" w:rsidR="00B2322C" w:rsidRDefault="00B2322C" w:rsidP="00B2322C">
      <w:pPr>
        <w:widowControl w:val="0"/>
        <w:spacing w:before="0" w:after="0"/>
      </w:pPr>
    </w:p>
    <w:p w14:paraId="02BDCE36" w14:textId="02841CB7" w:rsidR="00B2322C" w:rsidRDefault="00B2322C" w:rsidP="00B2322C">
      <w:pPr>
        <w:spacing w:before="0" w:after="0"/>
        <w:rPr>
          <w:b/>
          <w:u w:val="single"/>
        </w:rPr>
      </w:pPr>
      <w:r>
        <w:rPr>
          <w:b/>
          <w:u w:val="single"/>
        </w:rPr>
        <w:t xml:space="preserve">Week </w:t>
      </w:r>
      <w:r w:rsidR="00491EFF">
        <w:rPr>
          <w:b/>
          <w:u w:val="single"/>
        </w:rPr>
        <w:t>9</w:t>
      </w:r>
      <w:r>
        <w:rPr>
          <w:b/>
          <w:u w:val="single"/>
        </w:rPr>
        <w:t xml:space="preserve"> (</w:t>
      </w:r>
      <w:r w:rsidR="00491EFF">
        <w:rPr>
          <w:b/>
          <w:u w:val="single"/>
        </w:rPr>
        <w:t>Nov 2</w:t>
      </w:r>
      <w:r w:rsidR="00124B37">
        <w:rPr>
          <w:b/>
          <w:u w:val="single"/>
        </w:rPr>
        <w:t>7</w:t>
      </w:r>
      <w:r>
        <w:rPr>
          <w:b/>
          <w:u w:val="single"/>
        </w:rPr>
        <w:t xml:space="preserve">) – </w:t>
      </w:r>
      <w:r w:rsidR="00491EFF">
        <w:rPr>
          <w:b/>
          <w:u w:val="single"/>
        </w:rPr>
        <w:t>Medi(c)ating Gender</w:t>
      </w:r>
    </w:p>
    <w:p w14:paraId="469C8FDC" w14:textId="77777777" w:rsidR="00B2322C" w:rsidRDefault="00B2322C" w:rsidP="00B2322C">
      <w:pPr>
        <w:spacing w:before="0" w:after="0"/>
        <w:rPr>
          <w:b/>
        </w:rPr>
      </w:pPr>
    </w:p>
    <w:p w14:paraId="7F47C522" w14:textId="722CB89A" w:rsidR="00B2322C" w:rsidRDefault="00410AD0" w:rsidP="00B2322C">
      <w:pPr>
        <w:spacing w:before="0" w:after="0"/>
      </w:pPr>
      <w:r>
        <w:t>Explore how pharmaceuticals mediate gender.</w:t>
      </w:r>
    </w:p>
    <w:p w14:paraId="7F62B4DD" w14:textId="77777777" w:rsidR="00B2322C" w:rsidRDefault="00B2322C" w:rsidP="00B2322C">
      <w:pPr>
        <w:spacing w:before="0" w:after="0"/>
      </w:pPr>
    </w:p>
    <w:p w14:paraId="03F9B8AD" w14:textId="0CE2C1AD" w:rsidR="00B2322C" w:rsidRDefault="00B2322C" w:rsidP="00410AD0">
      <w:pPr>
        <w:spacing w:before="0" w:after="0"/>
      </w:pPr>
      <w:r>
        <w:t>Learning objectives</w:t>
      </w:r>
    </w:p>
    <w:p w14:paraId="1E2E7DA5" w14:textId="7420EDD4" w:rsidR="00B2322C" w:rsidRDefault="00410AD0" w:rsidP="00B2322C">
      <w:pPr>
        <w:numPr>
          <w:ilvl w:val="0"/>
          <w:numId w:val="2"/>
        </w:numPr>
        <w:spacing w:before="0" w:after="0"/>
      </w:pPr>
      <w:r>
        <w:t>to be exposed to the gendered scripts of pharmaceuticals</w:t>
      </w:r>
    </w:p>
    <w:p w14:paraId="7896F0A4" w14:textId="0F117A89" w:rsidR="00B2322C" w:rsidRDefault="00410AD0" w:rsidP="00B2322C">
      <w:pPr>
        <w:numPr>
          <w:ilvl w:val="0"/>
          <w:numId w:val="2"/>
        </w:numPr>
        <w:spacing w:before="0" w:after="0"/>
      </w:pPr>
      <w:r>
        <w:t>to consider the potential (or lack thereof) for pharmaceuticals to be “feminist”</w:t>
      </w:r>
    </w:p>
    <w:p w14:paraId="519AAB47" w14:textId="77777777" w:rsidR="00B2322C" w:rsidRDefault="00B2322C" w:rsidP="00B2322C">
      <w:pPr>
        <w:spacing w:before="0" w:after="0"/>
        <w:ind w:left="284" w:hanging="284"/>
      </w:pPr>
    </w:p>
    <w:p w14:paraId="35A9AB9E" w14:textId="77777777" w:rsidR="00B2322C" w:rsidRDefault="00B2322C" w:rsidP="00B2322C">
      <w:pPr>
        <w:spacing w:before="0" w:after="0"/>
        <w:rPr>
          <w:b/>
        </w:rPr>
      </w:pPr>
      <w:r>
        <w:rPr>
          <w:b/>
        </w:rPr>
        <w:t>Core Reading</w:t>
      </w:r>
    </w:p>
    <w:p w14:paraId="4929AAA8" w14:textId="77777777" w:rsidR="00B2322C" w:rsidRDefault="00B2322C" w:rsidP="00B2322C">
      <w:pPr>
        <w:widowControl w:val="0"/>
        <w:spacing w:before="0" w:after="0"/>
      </w:pPr>
    </w:p>
    <w:p w14:paraId="02F10FCF" w14:textId="77777777" w:rsidR="00491EFF" w:rsidRPr="00FB0F4E" w:rsidRDefault="00491EFF" w:rsidP="00491EFF">
      <w:pPr>
        <w:rPr>
          <w:rFonts w:cstheme="minorHAnsi"/>
        </w:rPr>
      </w:pPr>
      <w:r>
        <w:rPr>
          <w:rFonts w:cstheme="minorHAnsi"/>
        </w:rPr>
        <w:t xml:space="preserve">Laura </w:t>
      </w:r>
      <w:r w:rsidRPr="00FB0F4E">
        <w:rPr>
          <w:rFonts w:cstheme="minorHAnsi"/>
        </w:rPr>
        <w:t xml:space="preserve">Mamo and </w:t>
      </w:r>
      <w:r>
        <w:rPr>
          <w:rFonts w:cstheme="minorHAnsi"/>
        </w:rPr>
        <w:t xml:space="preserve">Jennifer </w:t>
      </w:r>
      <w:r w:rsidRPr="00FB0F4E">
        <w:rPr>
          <w:rFonts w:cstheme="minorHAnsi"/>
        </w:rPr>
        <w:t xml:space="preserve">Fishman, “Potency in all the Right Places: Viagra as Technology of the Gendered Body,” </w:t>
      </w:r>
      <w:r w:rsidRPr="00FB0F4E">
        <w:rPr>
          <w:rFonts w:cstheme="minorHAnsi"/>
          <w:i/>
        </w:rPr>
        <w:t>Body and Society</w:t>
      </w:r>
      <w:r w:rsidRPr="00FB0F4E">
        <w:rPr>
          <w:rFonts w:cstheme="minorHAnsi"/>
        </w:rPr>
        <w:t xml:space="preserve"> 7.4 (2001): 13-35.</w:t>
      </w:r>
    </w:p>
    <w:p w14:paraId="74F8290D" w14:textId="52FA2535" w:rsidR="00491EFF" w:rsidRDefault="00491EFF" w:rsidP="00491EFF">
      <w:pPr>
        <w:rPr>
          <w:rFonts w:cstheme="minorHAnsi"/>
        </w:rPr>
      </w:pPr>
      <w:r w:rsidRPr="00FB0F4E">
        <w:rPr>
          <w:rFonts w:cstheme="minorHAnsi"/>
        </w:rPr>
        <w:t>Greenslit, Nathan, “Dep®ession and Consum</w:t>
      </w:r>
      <w:r w:rsidRPr="00FB0F4E">
        <w:rPr>
          <w:rFonts w:ascii="Segoe UI Emoji" w:hAnsi="Segoe UI Emoji" w:cs="Segoe UI Emoji"/>
          <w:color w:val="222222"/>
          <w:shd w:val="clear" w:color="auto" w:fill="FFFFFF"/>
        </w:rPr>
        <w:t>♀</w:t>
      </w:r>
      <w:r w:rsidRPr="00FB0F4E">
        <w:rPr>
          <w:rFonts w:cstheme="minorHAnsi"/>
        </w:rPr>
        <w:t xml:space="preserve">tion: Psychopharmaceuticals, Branding, and New Identity Practices.” </w:t>
      </w:r>
      <w:r w:rsidRPr="00FB0F4E">
        <w:rPr>
          <w:rFonts w:cstheme="minorHAnsi"/>
          <w:i/>
        </w:rPr>
        <w:t>Culture, Medicine and Psychiatry</w:t>
      </w:r>
      <w:r w:rsidRPr="00FB0F4E">
        <w:rPr>
          <w:rFonts w:cstheme="minorHAnsi"/>
        </w:rPr>
        <w:t xml:space="preserve"> 29 (2005): 477-502.</w:t>
      </w:r>
    </w:p>
    <w:p w14:paraId="6172363F" w14:textId="7598007A" w:rsidR="003B6544" w:rsidRDefault="003B6544" w:rsidP="00491EFF">
      <w:pPr>
        <w:rPr>
          <w:rFonts w:cstheme="minorHAnsi"/>
        </w:rPr>
      </w:pPr>
    </w:p>
    <w:p w14:paraId="1BCE64F4" w14:textId="009CEB09" w:rsidR="00491EFF" w:rsidRDefault="003B6544" w:rsidP="003B6544">
      <w:pPr>
        <w:rPr>
          <w:rFonts w:cstheme="minorHAnsi"/>
        </w:rPr>
      </w:pPr>
      <w:r>
        <w:rPr>
          <w:rFonts w:cstheme="minorHAnsi"/>
        </w:rPr>
        <w:t xml:space="preserve">Recommended: </w:t>
      </w:r>
      <w:r w:rsidR="00491EFF">
        <w:rPr>
          <w:rFonts w:cstheme="minorHAnsi"/>
        </w:rPr>
        <w:t xml:space="preserve">Anne Fausto-Sterling, “Bare Bones of Sex,” </w:t>
      </w:r>
      <w:r w:rsidR="00491EFF">
        <w:rPr>
          <w:rFonts w:cstheme="minorHAnsi"/>
          <w:i/>
        </w:rPr>
        <w:t xml:space="preserve">Signs </w:t>
      </w:r>
      <w:r w:rsidR="00491EFF">
        <w:rPr>
          <w:rFonts w:cstheme="minorHAnsi"/>
        </w:rPr>
        <w:t>30.2 (2005): 1491-1527.</w:t>
      </w:r>
    </w:p>
    <w:p w14:paraId="2FD42FB6" w14:textId="14D12C62" w:rsidR="000E7E32" w:rsidRPr="003B6544" w:rsidRDefault="000E7E32" w:rsidP="003B6544">
      <w:pPr>
        <w:rPr>
          <w:rFonts w:cstheme="minorHAnsi"/>
        </w:rPr>
      </w:pPr>
      <w:r>
        <w:rPr>
          <w:rFonts w:cstheme="minorHAnsi"/>
        </w:rPr>
        <w:t xml:space="preserve">Recommended: </w:t>
      </w:r>
      <w:r w:rsidRPr="000E7E32">
        <w:rPr>
          <w:rFonts w:cstheme="minorHAnsi"/>
        </w:rPr>
        <w:t xml:space="preserve">Borck, C. Ray, and Lisa Jean Jean Moore. "This is My Voice on T: Synthetic Testosterone, DIY Surveillance, and Transnormative Masculinity." </w:t>
      </w:r>
      <w:r w:rsidRPr="000E7E32">
        <w:rPr>
          <w:rFonts w:cstheme="minorHAnsi"/>
          <w:i/>
          <w:iCs/>
        </w:rPr>
        <w:t>Surveillance &amp; Society</w:t>
      </w:r>
      <w:r w:rsidRPr="000E7E32">
        <w:rPr>
          <w:rFonts w:cstheme="minorHAnsi"/>
        </w:rPr>
        <w:t xml:space="preserve"> 17, no. 5 (2019): 631-640.</w:t>
      </w:r>
    </w:p>
    <w:p w14:paraId="1D348578" w14:textId="77777777" w:rsidR="00491EFF" w:rsidRDefault="00491EFF" w:rsidP="00B2322C">
      <w:pPr>
        <w:widowControl w:val="0"/>
        <w:spacing w:before="0" w:after="0"/>
        <w:rPr>
          <w:b/>
        </w:rPr>
      </w:pPr>
    </w:p>
    <w:p w14:paraId="42693445" w14:textId="77777777" w:rsidR="00B2322C" w:rsidRDefault="00B2322C" w:rsidP="00B2322C">
      <w:pPr>
        <w:widowControl w:val="0"/>
        <w:spacing w:before="0" w:after="0"/>
      </w:pPr>
    </w:p>
    <w:p w14:paraId="5907131B" w14:textId="65D71AE6" w:rsidR="00B2322C" w:rsidRDefault="00B2322C" w:rsidP="00B2322C">
      <w:pPr>
        <w:spacing w:before="0" w:after="0"/>
        <w:rPr>
          <w:b/>
          <w:u w:val="single"/>
        </w:rPr>
      </w:pPr>
      <w:r>
        <w:rPr>
          <w:b/>
          <w:u w:val="single"/>
        </w:rPr>
        <w:t xml:space="preserve">Week </w:t>
      </w:r>
      <w:r w:rsidR="00491EFF">
        <w:rPr>
          <w:b/>
          <w:u w:val="single"/>
        </w:rPr>
        <w:t>10</w:t>
      </w:r>
      <w:r>
        <w:rPr>
          <w:b/>
          <w:u w:val="single"/>
        </w:rPr>
        <w:t xml:space="preserve"> (</w:t>
      </w:r>
      <w:r w:rsidR="00124B37">
        <w:rPr>
          <w:b/>
          <w:u w:val="single"/>
        </w:rPr>
        <w:t>December 4</w:t>
      </w:r>
      <w:r>
        <w:rPr>
          <w:b/>
          <w:u w:val="single"/>
        </w:rPr>
        <w:t xml:space="preserve">) – </w:t>
      </w:r>
      <w:r w:rsidR="00491EFF">
        <w:rPr>
          <w:b/>
          <w:u w:val="single"/>
        </w:rPr>
        <w:t>Medi(c)ating Race</w:t>
      </w:r>
    </w:p>
    <w:p w14:paraId="7F74DD0E" w14:textId="77777777" w:rsidR="00B2322C" w:rsidRDefault="00B2322C" w:rsidP="00B2322C">
      <w:pPr>
        <w:spacing w:before="0" w:after="0"/>
        <w:rPr>
          <w:b/>
        </w:rPr>
      </w:pPr>
    </w:p>
    <w:p w14:paraId="415151A8" w14:textId="66DD5047" w:rsidR="00B2322C" w:rsidRDefault="00410AD0" w:rsidP="00B2322C">
      <w:pPr>
        <w:spacing w:before="0" w:after="0"/>
      </w:pPr>
      <w:r>
        <w:t>Explore how drugs mediate race.</w:t>
      </w:r>
    </w:p>
    <w:p w14:paraId="67B65F56" w14:textId="77777777" w:rsidR="00B2322C" w:rsidRDefault="00B2322C" w:rsidP="00B2322C">
      <w:pPr>
        <w:spacing w:before="0" w:after="0"/>
      </w:pPr>
    </w:p>
    <w:p w14:paraId="5A74671E" w14:textId="77777777" w:rsidR="00B2322C" w:rsidRDefault="00B2322C" w:rsidP="00B2322C">
      <w:pPr>
        <w:spacing w:before="0" w:after="0"/>
      </w:pPr>
      <w:r>
        <w:t>Learning objectives</w:t>
      </w:r>
    </w:p>
    <w:p w14:paraId="3EA4D3EC" w14:textId="349592E7" w:rsidR="00B2322C" w:rsidRDefault="00410AD0" w:rsidP="00B2322C">
      <w:pPr>
        <w:numPr>
          <w:ilvl w:val="0"/>
          <w:numId w:val="2"/>
        </w:numPr>
        <w:spacing w:before="0" w:after="0"/>
      </w:pPr>
      <w:r>
        <w:t>to be exposed to the ways that racial categories become embedded in prescribing</w:t>
      </w:r>
    </w:p>
    <w:p w14:paraId="70211DA6" w14:textId="751F6DE5" w:rsidR="00B2322C" w:rsidRDefault="00410AD0" w:rsidP="00410AD0">
      <w:pPr>
        <w:numPr>
          <w:ilvl w:val="0"/>
          <w:numId w:val="2"/>
        </w:numPr>
        <w:spacing w:before="0" w:after="0"/>
      </w:pPr>
      <w:r>
        <w:t xml:space="preserve">to explore how popular narratives and medical narratives about drugs, race, </w:t>
      </w:r>
      <w:r w:rsidR="00965560">
        <w:t xml:space="preserve">hope </w:t>
      </w:r>
      <w:r>
        <w:t>and danger intersect</w:t>
      </w:r>
    </w:p>
    <w:p w14:paraId="417B6217" w14:textId="77777777" w:rsidR="00B2322C" w:rsidRDefault="00B2322C" w:rsidP="00B2322C">
      <w:pPr>
        <w:spacing w:before="0" w:after="0"/>
        <w:ind w:left="284" w:hanging="284"/>
      </w:pPr>
    </w:p>
    <w:p w14:paraId="356EDEB4" w14:textId="7B59F1C5" w:rsidR="00B2322C" w:rsidRDefault="00B2322C" w:rsidP="00B2322C">
      <w:pPr>
        <w:spacing w:before="0" w:after="0"/>
        <w:rPr>
          <w:b/>
        </w:rPr>
      </w:pPr>
      <w:r>
        <w:rPr>
          <w:b/>
        </w:rPr>
        <w:t>Core Reading</w:t>
      </w:r>
    </w:p>
    <w:p w14:paraId="79626AC4" w14:textId="1FB6C78E" w:rsidR="00B2322C" w:rsidRDefault="00B2322C" w:rsidP="00B2322C">
      <w:pPr>
        <w:widowControl w:val="0"/>
        <w:spacing w:before="0" w:after="0"/>
      </w:pPr>
    </w:p>
    <w:p w14:paraId="7B7F6AF1" w14:textId="77777777" w:rsidR="00491EFF" w:rsidRPr="001D3215" w:rsidRDefault="00491EFF" w:rsidP="00491EFF">
      <w:pPr>
        <w:rPr>
          <w:rFonts w:cstheme="minorHAnsi"/>
        </w:rPr>
      </w:pPr>
      <w:r>
        <w:rPr>
          <w:rFonts w:cstheme="minorHAnsi"/>
        </w:rPr>
        <w:t xml:space="preserve">Jonathan Xavier </w:t>
      </w:r>
      <w:r w:rsidRPr="00FB0F4E">
        <w:rPr>
          <w:rFonts w:cstheme="minorHAnsi"/>
        </w:rPr>
        <w:t>Inda, “Materializing Hope</w:t>
      </w:r>
      <w:r>
        <w:rPr>
          <w:rFonts w:cstheme="minorHAnsi"/>
        </w:rPr>
        <w:t xml:space="preserve">: </w:t>
      </w:r>
      <w:r w:rsidRPr="001D3215">
        <w:rPr>
          <w:rFonts w:cstheme="minorHAnsi"/>
        </w:rPr>
        <w:t>Racial Pharmaceuticals, Suffering Bodies, and Biological Citizenship</w:t>
      </w:r>
      <w:r>
        <w:rPr>
          <w:rFonts w:cstheme="minorHAnsi"/>
        </w:rPr>
        <w:t>,</w:t>
      </w:r>
      <w:r w:rsidRPr="00FB0F4E">
        <w:rPr>
          <w:rFonts w:cstheme="minorHAnsi"/>
        </w:rPr>
        <w:t>”</w:t>
      </w:r>
      <w:r>
        <w:rPr>
          <w:rFonts w:cstheme="minorHAnsi"/>
        </w:rPr>
        <w:t xml:space="preserve"> in </w:t>
      </w:r>
      <w:r w:rsidRPr="001D3215">
        <w:rPr>
          <w:rFonts w:cstheme="minorHAnsi"/>
          <w:i/>
        </w:rPr>
        <w:t>Corpus: An Interdisciplinary Reader on Bodies and Knowledge</w:t>
      </w:r>
      <w:r>
        <w:rPr>
          <w:rFonts w:cstheme="minorHAnsi"/>
          <w:i/>
        </w:rPr>
        <w:t xml:space="preserve">, </w:t>
      </w:r>
      <w:r>
        <w:rPr>
          <w:rFonts w:cstheme="minorHAnsi"/>
        </w:rPr>
        <w:t>edited by Monica J. Casper and Paisley Currah, New York: Palgrave Macmillan, pp. 61-80.</w:t>
      </w:r>
    </w:p>
    <w:p w14:paraId="62369CC1" w14:textId="77777777" w:rsidR="00491EFF" w:rsidRPr="00FB0F4E" w:rsidRDefault="00491EFF" w:rsidP="00491EFF">
      <w:pPr>
        <w:spacing w:after="0" w:line="241" w:lineRule="auto"/>
        <w:ind w:left="1"/>
        <w:rPr>
          <w:rFonts w:cstheme="minorHAnsi"/>
        </w:rPr>
      </w:pPr>
      <w:r>
        <w:rPr>
          <w:rFonts w:cstheme="minorHAnsi"/>
        </w:rPr>
        <w:lastRenderedPageBreak/>
        <w:t xml:space="preserve">Jonathan M. </w:t>
      </w:r>
      <w:r w:rsidRPr="00FB0F4E">
        <w:rPr>
          <w:rFonts w:cstheme="minorHAnsi"/>
        </w:rPr>
        <w:t xml:space="preserve">Metzl, “Images of Learning and Healing: Mainstream Anxieties about Race in Antipsychotic Drug Ads” </w:t>
      </w:r>
      <w:r w:rsidRPr="00FB0F4E">
        <w:rPr>
          <w:rFonts w:eastAsia="Calibri" w:cstheme="minorHAnsi"/>
          <w:i/>
        </w:rPr>
        <w:t xml:space="preserve">Virtual Mentor: American Medical Association Journal of Ethics </w:t>
      </w:r>
      <w:r w:rsidRPr="00FB0F4E">
        <w:rPr>
          <w:rFonts w:cstheme="minorHAnsi"/>
        </w:rPr>
        <w:t>14.6</w:t>
      </w:r>
      <w:r w:rsidRPr="00FB0F4E">
        <w:rPr>
          <w:rFonts w:eastAsia="Calibri" w:cstheme="minorHAnsi"/>
        </w:rPr>
        <w:t xml:space="preserve"> </w:t>
      </w:r>
      <w:r w:rsidRPr="00FB0F4E">
        <w:rPr>
          <w:rFonts w:cstheme="minorHAnsi"/>
        </w:rPr>
        <w:t>(June</w:t>
      </w:r>
      <w:r w:rsidRPr="00FB0F4E">
        <w:rPr>
          <w:rFonts w:eastAsia="Calibri" w:cstheme="minorHAnsi"/>
        </w:rPr>
        <w:t xml:space="preserve"> </w:t>
      </w:r>
      <w:r w:rsidRPr="00FB0F4E">
        <w:rPr>
          <w:rFonts w:cstheme="minorHAnsi"/>
        </w:rPr>
        <w:t>2012):</w:t>
      </w:r>
      <w:r w:rsidRPr="00FB0F4E">
        <w:rPr>
          <w:rFonts w:eastAsia="Calibri" w:cstheme="minorHAnsi"/>
        </w:rPr>
        <w:t xml:space="preserve"> </w:t>
      </w:r>
      <w:r w:rsidRPr="00FB0F4E">
        <w:rPr>
          <w:rFonts w:cstheme="minorHAnsi"/>
        </w:rPr>
        <w:t>494</w:t>
      </w:r>
      <w:r w:rsidRPr="00FB0F4E">
        <w:rPr>
          <w:rFonts w:eastAsia="Calibri" w:cstheme="minorHAnsi"/>
        </w:rPr>
        <w:t>‐</w:t>
      </w:r>
      <w:r w:rsidRPr="00FB0F4E">
        <w:rPr>
          <w:rFonts w:cstheme="minorHAnsi"/>
        </w:rPr>
        <w:t>502.</w:t>
      </w:r>
    </w:p>
    <w:p w14:paraId="64288608" w14:textId="56009A77" w:rsidR="00491EFF" w:rsidRDefault="00491EFF" w:rsidP="00491EFF">
      <w:pPr>
        <w:spacing w:after="0" w:line="241" w:lineRule="auto"/>
        <w:ind w:left="1"/>
        <w:rPr>
          <w:rFonts w:cstheme="minorHAnsi"/>
        </w:rPr>
      </w:pPr>
    </w:p>
    <w:p w14:paraId="42124C5B" w14:textId="291D842B" w:rsidR="00491EFF" w:rsidRPr="003B6544" w:rsidRDefault="003B6544" w:rsidP="003B6544">
      <w:pPr>
        <w:spacing w:after="0" w:line="241" w:lineRule="auto"/>
        <w:ind w:left="1"/>
        <w:rPr>
          <w:rFonts w:cstheme="minorHAnsi"/>
        </w:rPr>
      </w:pPr>
      <w:r>
        <w:rPr>
          <w:rFonts w:cstheme="minorHAnsi"/>
        </w:rPr>
        <w:t xml:space="preserve">Recommended: </w:t>
      </w:r>
      <w:r w:rsidR="00FD0C9B">
        <w:rPr>
          <w:rFonts w:cstheme="minorHAnsi"/>
        </w:rPr>
        <w:br/>
      </w:r>
      <w:r w:rsidR="00491EFF" w:rsidRPr="00FB0F4E">
        <w:rPr>
          <w:rFonts w:cstheme="minorHAnsi"/>
        </w:rPr>
        <w:t>Dorothy Roberts, “</w:t>
      </w:r>
      <w:r w:rsidR="00491EFF" w:rsidRPr="00C65AD1">
        <w:rPr>
          <w:rFonts w:cstheme="minorHAnsi"/>
        </w:rPr>
        <w:t>From Norplant to the contraceptive vaccine : the new frontier of population control</w:t>
      </w:r>
      <w:r w:rsidR="00491EFF" w:rsidRPr="00FB0F4E">
        <w:rPr>
          <w:rFonts w:cstheme="minorHAnsi"/>
        </w:rPr>
        <w:t xml:space="preserve">,” from </w:t>
      </w:r>
      <w:r w:rsidR="00491EFF" w:rsidRPr="00FB0F4E">
        <w:rPr>
          <w:rFonts w:cstheme="minorHAnsi"/>
          <w:i/>
        </w:rPr>
        <w:t>Killing the Black Body</w:t>
      </w:r>
      <w:r w:rsidR="00491EFF">
        <w:rPr>
          <w:rFonts w:cstheme="minorHAnsi"/>
          <w:i/>
        </w:rPr>
        <w:t xml:space="preserve">: Race, Reproduction, and the Meaning of Liberty </w:t>
      </w:r>
      <w:r w:rsidR="00491EFF">
        <w:rPr>
          <w:rFonts w:cstheme="minorHAnsi"/>
        </w:rPr>
        <w:t>New York: Pantheon Books, 1997</w:t>
      </w:r>
      <w:r w:rsidR="00491EFF" w:rsidRPr="00FB0F4E">
        <w:rPr>
          <w:rFonts w:cstheme="minorHAnsi"/>
          <w:i/>
        </w:rPr>
        <w:t>.</w:t>
      </w:r>
    </w:p>
    <w:p w14:paraId="78F21E40" w14:textId="77777777" w:rsidR="00491EFF" w:rsidRDefault="00491EFF" w:rsidP="00B2322C">
      <w:pPr>
        <w:widowControl w:val="0"/>
        <w:spacing w:before="0" w:after="0"/>
      </w:pPr>
    </w:p>
    <w:p w14:paraId="1464108B" w14:textId="77777777" w:rsidR="00B2322C" w:rsidRDefault="00B2322C" w:rsidP="00B2322C">
      <w:pPr>
        <w:widowControl w:val="0"/>
        <w:spacing w:before="0" w:after="0"/>
      </w:pPr>
    </w:p>
    <w:p w14:paraId="5DDB63E2" w14:textId="78B4F0D6" w:rsidR="00B2322C" w:rsidRDefault="00B2322C" w:rsidP="00B2322C">
      <w:pPr>
        <w:spacing w:before="0" w:after="0"/>
        <w:rPr>
          <w:b/>
          <w:u w:val="single"/>
        </w:rPr>
      </w:pPr>
      <w:r>
        <w:rPr>
          <w:b/>
          <w:u w:val="single"/>
        </w:rPr>
        <w:t xml:space="preserve">Week </w:t>
      </w:r>
      <w:r w:rsidR="00491EFF">
        <w:rPr>
          <w:b/>
          <w:u w:val="single"/>
        </w:rPr>
        <w:t>11</w:t>
      </w:r>
      <w:r>
        <w:rPr>
          <w:b/>
          <w:u w:val="single"/>
        </w:rPr>
        <w:t xml:space="preserve"> (</w:t>
      </w:r>
      <w:r w:rsidR="00491EFF">
        <w:rPr>
          <w:b/>
          <w:u w:val="single"/>
        </w:rPr>
        <w:t xml:space="preserve">Dec </w:t>
      </w:r>
      <w:r w:rsidR="00124B37">
        <w:rPr>
          <w:b/>
          <w:u w:val="single"/>
        </w:rPr>
        <w:t>11</w:t>
      </w:r>
      <w:r>
        <w:rPr>
          <w:b/>
          <w:u w:val="single"/>
        </w:rPr>
        <w:t xml:space="preserve">) – </w:t>
      </w:r>
      <w:r w:rsidR="00491EFF">
        <w:rPr>
          <w:b/>
          <w:u w:val="single"/>
        </w:rPr>
        <w:t>Pharmaceutical Matters</w:t>
      </w:r>
    </w:p>
    <w:p w14:paraId="4493C891" w14:textId="77777777" w:rsidR="00B2322C" w:rsidRDefault="00B2322C" w:rsidP="00B2322C">
      <w:pPr>
        <w:spacing w:before="0" w:after="0"/>
        <w:rPr>
          <w:b/>
        </w:rPr>
      </w:pPr>
    </w:p>
    <w:p w14:paraId="748238FE" w14:textId="11487A62" w:rsidR="00B2322C" w:rsidRDefault="005C3291" w:rsidP="00B2322C">
      <w:pPr>
        <w:spacing w:before="0" w:after="0"/>
      </w:pPr>
      <w:r>
        <w:t>Engage with</w:t>
      </w:r>
      <w:r w:rsidR="00410AD0">
        <w:t xml:space="preserve"> “new materialism” and pharmaceuticals.</w:t>
      </w:r>
    </w:p>
    <w:p w14:paraId="42D14BB4" w14:textId="77777777" w:rsidR="00B2322C" w:rsidRDefault="00B2322C" w:rsidP="00B2322C">
      <w:pPr>
        <w:spacing w:before="0" w:after="0"/>
      </w:pPr>
    </w:p>
    <w:p w14:paraId="725213BA" w14:textId="77777777" w:rsidR="00B2322C" w:rsidRDefault="00B2322C" w:rsidP="00B2322C">
      <w:pPr>
        <w:spacing w:before="0" w:after="0"/>
      </w:pPr>
      <w:r>
        <w:t>Learning objectives</w:t>
      </w:r>
    </w:p>
    <w:p w14:paraId="0E3FB22A" w14:textId="2D96D1DE" w:rsidR="00B2322C" w:rsidRDefault="00410AD0" w:rsidP="00410AD0">
      <w:pPr>
        <w:numPr>
          <w:ilvl w:val="0"/>
          <w:numId w:val="2"/>
        </w:numPr>
        <w:spacing w:before="0" w:after="0"/>
      </w:pPr>
      <w:r>
        <w:t>to consider how the matter of pills matters</w:t>
      </w:r>
    </w:p>
    <w:p w14:paraId="3CA2B28D" w14:textId="51689FD0" w:rsidR="00B2322C" w:rsidRDefault="00410AD0" w:rsidP="00B2322C">
      <w:pPr>
        <w:numPr>
          <w:ilvl w:val="0"/>
          <w:numId w:val="2"/>
        </w:numPr>
        <w:spacing w:before="0" w:after="0"/>
      </w:pPr>
      <w:r>
        <w:t>to put drugs into the broader scholarly trend of increasing interest in materiality</w:t>
      </w:r>
    </w:p>
    <w:p w14:paraId="48A89507" w14:textId="77777777" w:rsidR="00B2322C" w:rsidRDefault="00B2322C" w:rsidP="00B2322C">
      <w:pPr>
        <w:spacing w:before="0" w:after="0"/>
        <w:ind w:left="284" w:hanging="284"/>
      </w:pPr>
    </w:p>
    <w:p w14:paraId="146EC147" w14:textId="245ED725" w:rsidR="00B2322C" w:rsidRDefault="00B2322C" w:rsidP="00B2322C">
      <w:pPr>
        <w:spacing w:before="0" w:after="0"/>
        <w:rPr>
          <w:b/>
        </w:rPr>
      </w:pPr>
      <w:r>
        <w:rPr>
          <w:b/>
        </w:rPr>
        <w:t>Core Reading</w:t>
      </w:r>
    </w:p>
    <w:p w14:paraId="65706AA0" w14:textId="24B76135" w:rsidR="00491EFF" w:rsidRDefault="00491EFF" w:rsidP="00B2322C">
      <w:pPr>
        <w:spacing w:before="0" w:after="0"/>
        <w:rPr>
          <w:b/>
        </w:rPr>
      </w:pPr>
    </w:p>
    <w:p w14:paraId="17C97269" w14:textId="7B4817A5" w:rsidR="00491EFF" w:rsidRPr="00FB0F4E" w:rsidRDefault="00CA1509" w:rsidP="00491EFF">
      <w:pPr>
        <w:spacing w:after="0" w:line="241" w:lineRule="auto"/>
        <w:ind w:left="1"/>
        <w:rPr>
          <w:rFonts w:cstheme="minorHAnsi"/>
        </w:rPr>
      </w:pPr>
      <w:r w:rsidRPr="00CA1509">
        <w:rPr>
          <w:rFonts w:cstheme="minorHAnsi"/>
        </w:rPr>
        <w:t xml:space="preserve">Anita Hardon and Emilia Sanabria, “Fluid Drugs: Revisiting the Anthropology of Pharmaceuticals,” </w:t>
      </w:r>
      <w:r w:rsidRPr="00CA1509">
        <w:rPr>
          <w:rFonts w:cstheme="minorHAnsi"/>
          <w:i/>
        </w:rPr>
        <w:t xml:space="preserve">Annual Review of Anthropology </w:t>
      </w:r>
      <w:r w:rsidRPr="00CA1509">
        <w:rPr>
          <w:rFonts w:cstheme="minorHAnsi"/>
        </w:rPr>
        <w:t>46 (2017): 117-32.</w:t>
      </w:r>
    </w:p>
    <w:p w14:paraId="2636DFD7" w14:textId="77777777" w:rsidR="00491EFF" w:rsidRPr="00FB0F4E" w:rsidRDefault="00491EFF" w:rsidP="00491EFF">
      <w:pPr>
        <w:spacing w:after="0" w:line="241" w:lineRule="auto"/>
        <w:ind w:left="1"/>
        <w:rPr>
          <w:rFonts w:cstheme="minorHAnsi"/>
        </w:rPr>
      </w:pPr>
    </w:p>
    <w:p w14:paraId="22360FB4" w14:textId="77777777" w:rsidR="00491EFF" w:rsidRDefault="00491EFF" w:rsidP="00491EFF">
      <w:pPr>
        <w:spacing w:after="0" w:line="241" w:lineRule="auto"/>
        <w:ind w:left="1"/>
        <w:rPr>
          <w:rFonts w:cstheme="minorHAnsi"/>
        </w:rPr>
      </w:pPr>
      <w:r>
        <w:rPr>
          <w:rFonts w:cstheme="minorHAnsi"/>
        </w:rPr>
        <w:t xml:space="preserve">Andrew </w:t>
      </w:r>
      <w:r w:rsidRPr="00FB0F4E">
        <w:rPr>
          <w:rFonts w:cstheme="minorHAnsi"/>
        </w:rPr>
        <w:t>Barry, “Pharmaceutical Matters: The Invention of Informed Materials</w:t>
      </w:r>
      <w:r>
        <w:rPr>
          <w:rFonts w:cstheme="minorHAnsi"/>
        </w:rPr>
        <w:t>,</w:t>
      </w:r>
      <w:r w:rsidRPr="00FB0F4E">
        <w:rPr>
          <w:rFonts w:cstheme="minorHAnsi"/>
        </w:rPr>
        <w:t>”</w:t>
      </w:r>
      <w:r>
        <w:rPr>
          <w:rFonts w:cstheme="minorHAnsi"/>
        </w:rPr>
        <w:t xml:space="preserve"> </w:t>
      </w:r>
      <w:r w:rsidRPr="0047340F">
        <w:rPr>
          <w:rFonts w:cstheme="minorHAnsi"/>
          <w:i/>
        </w:rPr>
        <w:t>Theory, Culture &amp; Society</w:t>
      </w:r>
      <w:r w:rsidRPr="0047340F">
        <w:rPr>
          <w:rFonts w:cstheme="minorHAnsi"/>
        </w:rPr>
        <w:t xml:space="preserve"> 22, no. 1 (2005): 51–69.</w:t>
      </w:r>
    </w:p>
    <w:p w14:paraId="0F0522A4" w14:textId="166EF8BC" w:rsidR="00491EFF" w:rsidRDefault="00491EFF" w:rsidP="00491EFF">
      <w:pPr>
        <w:spacing w:after="0" w:line="241" w:lineRule="auto"/>
        <w:rPr>
          <w:rFonts w:cstheme="minorHAnsi"/>
        </w:rPr>
      </w:pPr>
    </w:p>
    <w:p w14:paraId="76D7EE9E" w14:textId="77777777" w:rsidR="00CA1509" w:rsidRPr="00CA1509" w:rsidRDefault="003B6544" w:rsidP="00CA1509">
      <w:pPr>
        <w:spacing w:after="0" w:line="241" w:lineRule="auto"/>
        <w:rPr>
          <w:rFonts w:cstheme="minorHAnsi"/>
        </w:rPr>
      </w:pPr>
      <w:r w:rsidRPr="00FD0C9B">
        <w:rPr>
          <w:rFonts w:cstheme="minorHAnsi"/>
          <w:b/>
          <w:bCs/>
        </w:rPr>
        <w:t>Recommended:</w:t>
      </w:r>
      <w:r>
        <w:rPr>
          <w:rFonts w:cstheme="minorHAnsi"/>
        </w:rPr>
        <w:t xml:space="preserve"> </w:t>
      </w:r>
      <w:r w:rsidR="00FD0C9B">
        <w:rPr>
          <w:rFonts w:cstheme="minorHAnsi"/>
        </w:rPr>
        <w:br/>
      </w:r>
      <w:r w:rsidR="00CA1509" w:rsidRPr="00CA1509">
        <w:rPr>
          <w:rFonts w:cstheme="minorHAnsi"/>
        </w:rPr>
        <w:t xml:space="preserve">Elizabeth A. Wilson, “The Work of Antidepressants: Preliminary Notes on How to Build an Alliance Between Feminism and Psychopharmacology,” </w:t>
      </w:r>
      <w:r w:rsidR="00CA1509" w:rsidRPr="00CA1509">
        <w:rPr>
          <w:rFonts w:cstheme="minorHAnsi"/>
          <w:i/>
          <w:lang w:val="en-US"/>
        </w:rPr>
        <w:t>BioSocieties</w:t>
      </w:r>
      <w:r w:rsidR="00CA1509" w:rsidRPr="00CA1509">
        <w:rPr>
          <w:rFonts w:cstheme="minorHAnsi"/>
          <w:lang w:val="en-US"/>
        </w:rPr>
        <w:t xml:space="preserve"> 1 (2006): 125–31.</w:t>
      </w:r>
    </w:p>
    <w:p w14:paraId="0F048850" w14:textId="54EA1D15" w:rsidR="008C015F" w:rsidRPr="00831898" w:rsidRDefault="008C015F" w:rsidP="00831898">
      <w:pPr>
        <w:spacing w:after="0" w:line="241" w:lineRule="auto"/>
        <w:rPr>
          <w:rFonts w:cstheme="minorHAnsi"/>
        </w:rPr>
      </w:pPr>
    </w:p>
    <w:sectPr w:rsidR="008C015F" w:rsidRPr="00831898">
      <w:headerReference w:type="even" r:id="rId23"/>
      <w:headerReference w:type="default" r:id="rId24"/>
      <w:footerReference w:type="even" r:id="rId25"/>
      <w:footerReference w:type="default" r:id="rId26"/>
      <w:headerReference w:type="first" r:id="rId27"/>
      <w:footerReference w:type="first" r:id="rId28"/>
      <w:pgSz w:w="11900" w:h="16840"/>
      <w:pgMar w:top="1077" w:right="1418" w:bottom="107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2B4D2" w14:textId="77777777" w:rsidR="004321E7" w:rsidRDefault="004321E7">
      <w:pPr>
        <w:spacing w:before="0" w:after="0"/>
      </w:pPr>
      <w:r>
        <w:separator/>
      </w:r>
    </w:p>
  </w:endnote>
  <w:endnote w:type="continuationSeparator" w:id="0">
    <w:p w14:paraId="5168DF97" w14:textId="77777777" w:rsidR="004321E7" w:rsidRDefault="004321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FF3A4" w14:textId="77777777" w:rsidR="00287B8C" w:rsidRDefault="00287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219B" w14:textId="77777777" w:rsidR="008C015F" w:rsidRDefault="0064568F">
    <w:pPr>
      <w:tabs>
        <w:tab w:val="center" w:pos="4680"/>
        <w:tab w:val="right" w:pos="9360"/>
      </w:tabs>
      <w:spacing w:after="720"/>
      <w:jc w:val="center"/>
    </w:pPr>
    <w:r>
      <w:fldChar w:fldCharType="begin"/>
    </w:r>
    <w:r>
      <w:instrText>PAGE</w:instrText>
    </w:r>
    <w:r>
      <w:fldChar w:fldCharType="separate"/>
    </w:r>
    <w:r w:rsidR="001E66C2">
      <w:rPr>
        <w:noProof/>
      </w:rPr>
      <w:t>1</w:t>
    </w:r>
    <w:r>
      <w:fldChar w:fldCharType="end"/>
    </w:r>
  </w:p>
  <w:p w14:paraId="6AA201DC" w14:textId="77777777" w:rsidR="008C015F" w:rsidRDefault="008C015F">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E1CD" w14:textId="77777777" w:rsidR="00287B8C" w:rsidRDefault="00287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09AD8" w14:textId="77777777" w:rsidR="004321E7" w:rsidRDefault="004321E7">
      <w:pPr>
        <w:spacing w:before="0" w:after="0"/>
      </w:pPr>
      <w:r>
        <w:separator/>
      </w:r>
    </w:p>
  </w:footnote>
  <w:footnote w:type="continuationSeparator" w:id="0">
    <w:p w14:paraId="6397775C" w14:textId="77777777" w:rsidR="004321E7" w:rsidRDefault="004321E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C97B" w14:textId="77777777" w:rsidR="00287B8C" w:rsidRDefault="00287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D03B4" w14:textId="77777777" w:rsidR="00287B8C" w:rsidRDefault="00287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395F" w14:textId="77777777" w:rsidR="00287B8C" w:rsidRDefault="00287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95AF6"/>
    <w:multiLevelType w:val="hybridMultilevel"/>
    <w:tmpl w:val="C0BC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2284F"/>
    <w:multiLevelType w:val="multilevel"/>
    <w:tmpl w:val="4A1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D70622"/>
    <w:multiLevelType w:val="multilevel"/>
    <w:tmpl w:val="C92645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ED07514"/>
    <w:multiLevelType w:val="multilevel"/>
    <w:tmpl w:val="9F84F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A71061"/>
    <w:multiLevelType w:val="multilevel"/>
    <w:tmpl w:val="0BA8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5F"/>
    <w:rsid w:val="000017EB"/>
    <w:rsid w:val="000428E3"/>
    <w:rsid w:val="00056FB5"/>
    <w:rsid w:val="00064031"/>
    <w:rsid w:val="0009311C"/>
    <w:rsid w:val="00097932"/>
    <w:rsid w:val="000A4012"/>
    <w:rsid w:val="000A66D3"/>
    <w:rsid w:val="000E7E32"/>
    <w:rsid w:val="00103336"/>
    <w:rsid w:val="00124B37"/>
    <w:rsid w:val="00127CD2"/>
    <w:rsid w:val="00130285"/>
    <w:rsid w:val="00173E68"/>
    <w:rsid w:val="001A244B"/>
    <w:rsid w:val="001E66C2"/>
    <w:rsid w:val="002078E0"/>
    <w:rsid w:val="00212A87"/>
    <w:rsid w:val="00245BF2"/>
    <w:rsid w:val="0028556C"/>
    <w:rsid w:val="00287B8C"/>
    <w:rsid w:val="002943F3"/>
    <w:rsid w:val="002B2DF3"/>
    <w:rsid w:val="00310343"/>
    <w:rsid w:val="0033130C"/>
    <w:rsid w:val="00335DF4"/>
    <w:rsid w:val="00357306"/>
    <w:rsid w:val="00371D44"/>
    <w:rsid w:val="003828BE"/>
    <w:rsid w:val="0038460A"/>
    <w:rsid w:val="003B6544"/>
    <w:rsid w:val="003E080E"/>
    <w:rsid w:val="00410AD0"/>
    <w:rsid w:val="004321E7"/>
    <w:rsid w:val="00437EBA"/>
    <w:rsid w:val="00486B5B"/>
    <w:rsid w:val="00491EFF"/>
    <w:rsid w:val="00493A2D"/>
    <w:rsid w:val="004C161B"/>
    <w:rsid w:val="004D7392"/>
    <w:rsid w:val="004E6DFB"/>
    <w:rsid w:val="00521124"/>
    <w:rsid w:val="00550817"/>
    <w:rsid w:val="00580963"/>
    <w:rsid w:val="00595427"/>
    <w:rsid w:val="005A3B75"/>
    <w:rsid w:val="005A4188"/>
    <w:rsid w:val="005C3291"/>
    <w:rsid w:val="005D30CE"/>
    <w:rsid w:val="005D7144"/>
    <w:rsid w:val="005E4CAE"/>
    <w:rsid w:val="005E4E5C"/>
    <w:rsid w:val="005E6522"/>
    <w:rsid w:val="00604163"/>
    <w:rsid w:val="006071CC"/>
    <w:rsid w:val="0064568F"/>
    <w:rsid w:val="0069123D"/>
    <w:rsid w:val="006D1B11"/>
    <w:rsid w:val="006D5446"/>
    <w:rsid w:val="006F7855"/>
    <w:rsid w:val="00727444"/>
    <w:rsid w:val="00755EA7"/>
    <w:rsid w:val="00774C63"/>
    <w:rsid w:val="007E2BD2"/>
    <w:rsid w:val="008051F0"/>
    <w:rsid w:val="00831898"/>
    <w:rsid w:val="00831DB7"/>
    <w:rsid w:val="00833F00"/>
    <w:rsid w:val="00886A26"/>
    <w:rsid w:val="00894038"/>
    <w:rsid w:val="008C015F"/>
    <w:rsid w:val="008D2CC9"/>
    <w:rsid w:val="008D6B15"/>
    <w:rsid w:val="00906723"/>
    <w:rsid w:val="00911BF4"/>
    <w:rsid w:val="00965560"/>
    <w:rsid w:val="00987E53"/>
    <w:rsid w:val="009909F1"/>
    <w:rsid w:val="009A6FBC"/>
    <w:rsid w:val="009C6ACD"/>
    <w:rsid w:val="009E04ED"/>
    <w:rsid w:val="009F2A23"/>
    <w:rsid w:val="00A344E3"/>
    <w:rsid w:val="00A45990"/>
    <w:rsid w:val="00A74473"/>
    <w:rsid w:val="00A81C50"/>
    <w:rsid w:val="00A81EF2"/>
    <w:rsid w:val="00AA5D81"/>
    <w:rsid w:val="00AB7F09"/>
    <w:rsid w:val="00B2322C"/>
    <w:rsid w:val="00B24100"/>
    <w:rsid w:val="00B4325A"/>
    <w:rsid w:val="00B502B9"/>
    <w:rsid w:val="00B57C0B"/>
    <w:rsid w:val="00B65D5E"/>
    <w:rsid w:val="00B665A0"/>
    <w:rsid w:val="00B7737A"/>
    <w:rsid w:val="00BF3668"/>
    <w:rsid w:val="00C03EE8"/>
    <w:rsid w:val="00C16E7B"/>
    <w:rsid w:val="00C22FB6"/>
    <w:rsid w:val="00CA1509"/>
    <w:rsid w:val="00CE2A3B"/>
    <w:rsid w:val="00D10CC9"/>
    <w:rsid w:val="00D444C2"/>
    <w:rsid w:val="00D80A1A"/>
    <w:rsid w:val="00D928CB"/>
    <w:rsid w:val="00DA14A2"/>
    <w:rsid w:val="00DB2EE5"/>
    <w:rsid w:val="00DB7A7D"/>
    <w:rsid w:val="00E13C09"/>
    <w:rsid w:val="00E306B0"/>
    <w:rsid w:val="00E76E05"/>
    <w:rsid w:val="00EB645F"/>
    <w:rsid w:val="00ED208B"/>
    <w:rsid w:val="00F162E9"/>
    <w:rsid w:val="00F23486"/>
    <w:rsid w:val="00F241A9"/>
    <w:rsid w:val="00F444F4"/>
    <w:rsid w:val="00F87FF1"/>
    <w:rsid w:val="00FA31CA"/>
    <w:rsid w:val="00FC5953"/>
    <w:rsid w:val="00FD0C9B"/>
    <w:rsid w:val="00FF70D6"/>
    <w:rsid w:val="00FF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3DDBA0"/>
  <w15:docId w15:val="{8F707355-2173-3D40-A1C8-B796551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color w:val="000000"/>
        <w:sz w:val="24"/>
        <w:szCs w:val="24"/>
        <w:lang w:val="en" w:eastAsia="en-US" w:bidi="ar-SA"/>
      </w:rPr>
    </w:rPrDefault>
    <w:pPrDefault>
      <w:pPr>
        <w:pBdr>
          <w:top w:val="nil"/>
          <w:left w:val="nil"/>
          <w:bottom w:val="nil"/>
          <w:right w:val="nil"/>
          <w:between w:val="nil"/>
        </w:pBd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jc w:val="center"/>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40"/>
      <w:outlineLvl w:val="2"/>
    </w:pPr>
    <w:rPr>
      <w:b/>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87B8C"/>
    <w:pPr>
      <w:tabs>
        <w:tab w:val="center" w:pos="4513"/>
        <w:tab w:val="right" w:pos="9026"/>
      </w:tabs>
      <w:spacing w:before="0" w:after="0"/>
    </w:pPr>
  </w:style>
  <w:style w:type="character" w:customStyle="1" w:styleId="HeaderChar">
    <w:name w:val="Header Char"/>
    <w:basedOn w:val="DefaultParagraphFont"/>
    <w:link w:val="Header"/>
    <w:uiPriority w:val="99"/>
    <w:rsid w:val="00287B8C"/>
  </w:style>
  <w:style w:type="paragraph" w:styleId="Footer">
    <w:name w:val="footer"/>
    <w:basedOn w:val="Normal"/>
    <w:link w:val="FooterChar"/>
    <w:uiPriority w:val="99"/>
    <w:unhideWhenUsed/>
    <w:rsid w:val="00287B8C"/>
    <w:pPr>
      <w:tabs>
        <w:tab w:val="center" w:pos="4513"/>
        <w:tab w:val="right" w:pos="9026"/>
      </w:tabs>
      <w:spacing w:before="0" w:after="0"/>
    </w:pPr>
  </w:style>
  <w:style w:type="character" w:customStyle="1" w:styleId="FooterChar">
    <w:name w:val="Footer Char"/>
    <w:basedOn w:val="DefaultParagraphFont"/>
    <w:link w:val="Footer"/>
    <w:uiPriority w:val="99"/>
    <w:rsid w:val="00287B8C"/>
  </w:style>
  <w:style w:type="character" w:styleId="Hyperlink">
    <w:name w:val="Hyperlink"/>
    <w:basedOn w:val="DefaultParagraphFont"/>
    <w:uiPriority w:val="99"/>
    <w:unhideWhenUsed/>
    <w:rsid w:val="00D928CB"/>
    <w:rPr>
      <w:color w:val="0563C1" w:themeColor="hyperlink"/>
      <w:u w:val="single"/>
    </w:rPr>
  </w:style>
  <w:style w:type="character" w:styleId="UnresolvedMention">
    <w:name w:val="Unresolved Mention"/>
    <w:basedOn w:val="DefaultParagraphFont"/>
    <w:uiPriority w:val="99"/>
    <w:semiHidden/>
    <w:unhideWhenUsed/>
    <w:rsid w:val="00D928CB"/>
    <w:rPr>
      <w:color w:val="605E5C"/>
      <w:shd w:val="clear" w:color="auto" w:fill="E1DFDD"/>
    </w:rPr>
  </w:style>
  <w:style w:type="paragraph" w:styleId="ListParagraph">
    <w:name w:val="List Paragraph"/>
    <w:basedOn w:val="Normal"/>
    <w:uiPriority w:val="34"/>
    <w:qFormat/>
    <w:rsid w:val="000A66D3"/>
    <w:pPr>
      <w:pBdr>
        <w:top w:val="none" w:sz="0" w:space="0" w:color="auto"/>
        <w:left w:val="none" w:sz="0" w:space="0" w:color="auto"/>
        <w:bottom w:val="none" w:sz="0" w:space="0" w:color="auto"/>
        <w:right w:val="none" w:sz="0" w:space="0" w:color="auto"/>
        <w:between w:val="none" w:sz="0" w:space="0" w:color="auto"/>
      </w:pBdr>
      <w:spacing w:before="0" w:after="160" w:line="259" w:lineRule="auto"/>
      <w:ind w:left="720"/>
      <w:contextualSpacing/>
    </w:pPr>
    <w:rPr>
      <w:rFonts w:asciiTheme="minorHAnsi" w:eastAsiaTheme="minorHAnsi" w:hAnsiTheme="minorHAnsi" w:cstheme="minorBidi"/>
      <w:color w:val="auto"/>
      <w:sz w:val="22"/>
      <w:szCs w:val="22"/>
      <w:lang w:val="en-GB"/>
    </w:rPr>
  </w:style>
  <w:style w:type="character" w:styleId="FollowedHyperlink">
    <w:name w:val="FollowedHyperlink"/>
    <w:basedOn w:val="DefaultParagraphFont"/>
    <w:uiPriority w:val="99"/>
    <w:semiHidden/>
    <w:unhideWhenUsed/>
    <w:rsid w:val="00B773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92687">
      <w:bodyDiv w:val="1"/>
      <w:marLeft w:val="0"/>
      <w:marRight w:val="0"/>
      <w:marTop w:val="0"/>
      <w:marBottom w:val="0"/>
      <w:divBdr>
        <w:top w:val="none" w:sz="0" w:space="0" w:color="auto"/>
        <w:left w:val="none" w:sz="0" w:space="0" w:color="auto"/>
        <w:bottom w:val="none" w:sz="0" w:space="0" w:color="auto"/>
        <w:right w:val="none" w:sz="0" w:space="0" w:color="auto"/>
      </w:divBdr>
    </w:div>
    <w:div w:id="126706385">
      <w:bodyDiv w:val="1"/>
      <w:marLeft w:val="0"/>
      <w:marRight w:val="0"/>
      <w:marTop w:val="0"/>
      <w:marBottom w:val="0"/>
      <w:divBdr>
        <w:top w:val="none" w:sz="0" w:space="0" w:color="auto"/>
        <w:left w:val="none" w:sz="0" w:space="0" w:color="auto"/>
        <w:bottom w:val="none" w:sz="0" w:space="0" w:color="auto"/>
        <w:right w:val="none" w:sz="0" w:space="0" w:color="auto"/>
      </w:divBdr>
    </w:div>
    <w:div w:id="669915343">
      <w:bodyDiv w:val="1"/>
      <w:marLeft w:val="0"/>
      <w:marRight w:val="0"/>
      <w:marTop w:val="0"/>
      <w:marBottom w:val="0"/>
      <w:divBdr>
        <w:top w:val="none" w:sz="0" w:space="0" w:color="auto"/>
        <w:left w:val="none" w:sz="0" w:space="0" w:color="auto"/>
        <w:bottom w:val="none" w:sz="0" w:space="0" w:color="auto"/>
        <w:right w:val="none" w:sz="0" w:space="0" w:color="auto"/>
      </w:divBdr>
    </w:div>
    <w:div w:id="713312039">
      <w:bodyDiv w:val="1"/>
      <w:marLeft w:val="0"/>
      <w:marRight w:val="0"/>
      <w:marTop w:val="0"/>
      <w:marBottom w:val="0"/>
      <w:divBdr>
        <w:top w:val="none" w:sz="0" w:space="0" w:color="auto"/>
        <w:left w:val="none" w:sz="0" w:space="0" w:color="auto"/>
        <w:bottom w:val="none" w:sz="0" w:space="0" w:color="auto"/>
        <w:right w:val="none" w:sz="0" w:space="0" w:color="auto"/>
      </w:divBdr>
    </w:div>
    <w:div w:id="1151143487">
      <w:bodyDiv w:val="1"/>
      <w:marLeft w:val="0"/>
      <w:marRight w:val="0"/>
      <w:marTop w:val="0"/>
      <w:marBottom w:val="0"/>
      <w:divBdr>
        <w:top w:val="none" w:sz="0" w:space="0" w:color="auto"/>
        <w:left w:val="none" w:sz="0" w:space="0" w:color="auto"/>
        <w:bottom w:val="none" w:sz="0" w:space="0" w:color="auto"/>
        <w:right w:val="none" w:sz="0" w:space="0" w:color="auto"/>
      </w:divBdr>
    </w:div>
    <w:div w:id="1478689026">
      <w:bodyDiv w:val="1"/>
      <w:marLeft w:val="0"/>
      <w:marRight w:val="0"/>
      <w:marTop w:val="0"/>
      <w:marBottom w:val="0"/>
      <w:divBdr>
        <w:top w:val="none" w:sz="0" w:space="0" w:color="auto"/>
        <w:left w:val="none" w:sz="0" w:space="0" w:color="auto"/>
        <w:bottom w:val="none" w:sz="0" w:space="0" w:color="auto"/>
        <w:right w:val="none" w:sz="0" w:space="0" w:color="auto"/>
      </w:divBdr>
      <w:divsChild>
        <w:div w:id="1275093025">
          <w:marLeft w:val="0"/>
          <w:marRight w:val="0"/>
          <w:marTop w:val="0"/>
          <w:marBottom w:val="0"/>
          <w:divBdr>
            <w:top w:val="none" w:sz="0" w:space="0" w:color="auto"/>
            <w:left w:val="none" w:sz="0" w:space="0" w:color="auto"/>
            <w:bottom w:val="none" w:sz="0" w:space="0" w:color="auto"/>
            <w:right w:val="none" w:sz="0" w:space="0" w:color="auto"/>
          </w:divBdr>
        </w:div>
      </w:divsChild>
    </w:div>
    <w:div w:id="1544320953">
      <w:bodyDiv w:val="1"/>
      <w:marLeft w:val="0"/>
      <w:marRight w:val="0"/>
      <w:marTop w:val="0"/>
      <w:marBottom w:val="0"/>
      <w:divBdr>
        <w:top w:val="none" w:sz="0" w:space="0" w:color="auto"/>
        <w:left w:val="none" w:sz="0" w:space="0" w:color="auto"/>
        <w:bottom w:val="none" w:sz="0" w:space="0" w:color="auto"/>
        <w:right w:val="none" w:sz="0" w:space="0" w:color="auto"/>
      </w:divBdr>
      <w:divsChild>
        <w:div w:id="850341017">
          <w:marLeft w:val="0"/>
          <w:marRight w:val="0"/>
          <w:marTop w:val="0"/>
          <w:marBottom w:val="0"/>
          <w:divBdr>
            <w:top w:val="none" w:sz="0" w:space="0" w:color="auto"/>
            <w:left w:val="none" w:sz="0" w:space="0" w:color="auto"/>
            <w:bottom w:val="none" w:sz="0" w:space="0" w:color="auto"/>
            <w:right w:val="none" w:sz="0" w:space="0" w:color="auto"/>
          </w:divBdr>
        </w:div>
      </w:divsChild>
    </w:div>
    <w:div w:id="1642995893">
      <w:bodyDiv w:val="1"/>
      <w:marLeft w:val="0"/>
      <w:marRight w:val="0"/>
      <w:marTop w:val="0"/>
      <w:marBottom w:val="0"/>
      <w:divBdr>
        <w:top w:val="none" w:sz="0" w:space="0" w:color="auto"/>
        <w:left w:val="none" w:sz="0" w:space="0" w:color="auto"/>
        <w:bottom w:val="none" w:sz="0" w:space="0" w:color="auto"/>
        <w:right w:val="none" w:sz="0" w:space="0" w:color="auto"/>
      </w:divBdr>
    </w:div>
    <w:div w:id="1887719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l.rl.talis.com/index.html" TargetMode="External"/><Relationship Id="rId13" Type="http://schemas.openxmlformats.org/officeDocument/2006/relationships/hyperlink" Target="http://www.kcl.ac.uk/artshums/study/handbook/sguides/assessment/plagiarism.aspx" TargetMode="External"/><Relationship Id="rId18" Type="http://schemas.openxmlformats.org/officeDocument/2006/relationships/hyperlink" Target="http://www.kcl.ac.uk/aboutkings/quality/academic/assessment/mitigating-circumstances/documents.asp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177/0091450917739391" TargetMode="External"/><Relationship Id="rId7" Type="http://schemas.openxmlformats.org/officeDocument/2006/relationships/hyperlink" Target="mailto:student@kcl.ac.uk" TargetMode="External"/><Relationship Id="rId12" Type="http://schemas.openxmlformats.org/officeDocument/2006/relationships/hyperlink" Target="http://keats.kcl.ac.uk" TargetMode="External"/><Relationship Id="rId17" Type="http://schemas.openxmlformats.org/officeDocument/2006/relationships/hyperlink" Target="http://www.kcl.ac.uk/aboutkings/quality/academic/assessment/mitguide.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cl.ac.uk/aboutkings/quality/academic/assessment/mitcir.aspx" TargetMode="External"/><Relationship Id="rId20" Type="http://schemas.openxmlformats.org/officeDocument/2006/relationships/hyperlink" Target="http://www.kcl.ac.uk/aboutkings/quality/academic/assessment/mitguide.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ats.kcl.ac.uk/mod/lti/view.php?id=431885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kcl.ac.uk/governancezone/index.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kcl.eblib.com/" TargetMode="External"/><Relationship Id="rId19" Type="http://schemas.openxmlformats.org/officeDocument/2006/relationships/hyperlink" Target="http://www.kcl.ac.uk/aboutkings/quality/academic/assessment/mitcir.aspx" TargetMode="External"/><Relationship Id="rId4" Type="http://schemas.openxmlformats.org/officeDocument/2006/relationships/webSettings" Target="webSettings.xml"/><Relationship Id="rId9" Type="http://schemas.openxmlformats.org/officeDocument/2006/relationships/hyperlink" Target="http://kcl.ac.uk/library" TargetMode="External"/><Relationship Id="rId14" Type="http://schemas.openxmlformats.org/officeDocument/2006/relationships/hyperlink" Target="https://www.kcl.ac.uk/governancezone/Assets/Assessment/Marking,%20College%20Framework.pdf" TargetMode="External"/><Relationship Id="rId22" Type="http://schemas.openxmlformats.org/officeDocument/2006/relationships/hyperlink" Target="https://doi.org/10.1080/01436597.2017.132827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14</Pages>
  <Words>4363</Words>
  <Characters>24871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Pollock, Anne</dc:creator>
  <cp:lastModifiedBy>Pollock, Anne</cp:lastModifiedBy>
  <cp:revision>67</cp:revision>
  <dcterms:created xsi:type="dcterms:W3CDTF">2020-06-18T11:47:00Z</dcterms:created>
  <dcterms:modified xsi:type="dcterms:W3CDTF">2021-01-28T17:28:00Z</dcterms:modified>
</cp:coreProperties>
</file>